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A9E" w:rsidRDefault="00521A9E" w:rsidP="00521A9E">
      <w:pPr>
        <w:jc w:val="both"/>
      </w:pPr>
    </w:p>
    <w:p w:rsidR="00521A9E" w:rsidRPr="00521A9E" w:rsidRDefault="00521A9E" w:rsidP="00521A9E">
      <w:pPr>
        <w:jc w:val="center"/>
        <w:rPr>
          <w:b/>
        </w:rPr>
      </w:pPr>
      <w:bookmarkStart w:id="0" w:name="_GoBack"/>
      <w:r w:rsidRPr="00521A9E">
        <w:rPr>
          <w:b/>
        </w:rPr>
        <w:t>LSA Trial – PARIS – S1 2016</w:t>
      </w:r>
    </w:p>
    <w:bookmarkEnd w:id="0"/>
    <w:p w:rsidR="00521A9E" w:rsidRDefault="00521A9E" w:rsidP="00521A9E">
      <w:pPr>
        <w:jc w:val="both"/>
      </w:pPr>
      <w:r w:rsidRPr="00367251">
        <w:t xml:space="preserve">An industrial </w:t>
      </w:r>
      <w:r>
        <w:t xml:space="preserve">LSA </w:t>
      </w:r>
      <w:r w:rsidRPr="00367251">
        <w:t>trial took place during the first semester 2016 in Paris managed by Ericsson, RED Technologies, and Qualcomm. The analysis of result of this trial, provided by these stakehold</w:t>
      </w:r>
      <w:r>
        <w:t xml:space="preserve">ers, is detailed hereafter </w:t>
      </w:r>
    </w:p>
    <w:p w:rsidR="00521A9E" w:rsidRPr="00521A9E" w:rsidRDefault="00521A9E" w:rsidP="00521A9E">
      <w:pPr>
        <w:rPr>
          <w:b/>
        </w:rPr>
      </w:pPr>
      <w:r w:rsidRPr="00367251">
        <w:rPr>
          <w:b/>
        </w:rPr>
        <w:t xml:space="preserve">Feedback from the recent Ericsson, RED Technologies, and Qualcomm trial </w:t>
      </w:r>
    </w:p>
    <w:p w:rsidR="00521A9E" w:rsidRPr="00367251" w:rsidRDefault="00521A9E" w:rsidP="00521A9E">
      <w:pPr>
        <w:jc w:val="both"/>
        <w:rPr>
          <w:b/>
        </w:rPr>
      </w:pPr>
      <w:r>
        <w:t xml:space="preserve">The feedback provided hereafter has been developed with the support of various entities contributed to the LSA trail to demonstrate, using latest commercial LTE radio network and user equipment, timely spectrum availability upon request from incumbent. </w:t>
      </w:r>
    </w:p>
    <w:p w:rsidR="00521A9E" w:rsidRPr="00EB22DA" w:rsidRDefault="00521A9E" w:rsidP="00521A9E">
      <w:pPr>
        <w:pStyle w:val="Titre1"/>
        <w:rPr>
          <w:rFonts w:asciiTheme="minorHAnsi" w:hAnsiTheme="minorHAnsi"/>
          <w:sz w:val="22"/>
          <w:szCs w:val="22"/>
        </w:rPr>
      </w:pPr>
      <w:r w:rsidRPr="00CE2CF7">
        <w:rPr>
          <w:rFonts w:asciiTheme="minorHAnsi" w:hAnsiTheme="minorHAnsi"/>
          <w:sz w:val="22"/>
          <w:szCs w:val="22"/>
        </w:rPr>
        <w:t>Background</w:t>
      </w:r>
    </w:p>
    <w:p w:rsidR="00521A9E" w:rsidRDefault="00521A9E" w:rsidP="00521A9E">
      <w:pPr>
        <w:jc w:val="both"/>
        <w:rPr>
          <w:lang w:eastAsia="de-DE"/>
        </w:rPr>
      </w:pPr>
      <w:r>
        <w:rPr>
          <w:lang w:eastAsia="de-DE"/>
        </w:rPr>
        <w:t xml:space="preserve">Spectrum sharing offers the potential to greatly increase spectrum efficiency and unlock extra data capacity. </w:t>
      </w:r>
    </w:p>
    <w:p w:rsidR="00521A9E" w:rsidRPr="007C5467" w:rsidRDefault="00521A9E" w:rsidP="00521A9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b/>
        </w:rPr>
      </w:pPr>
      <w:r w:rsidRPr="007C5467">
        <w:rPr>
          <w:b/>
          <w:lang w:eastAsia="de-DE"/>
        </w:rPr>
        <w:t xml:space="preserve">To validate, in the present case, that LSA can safeguard both existing incumbent and new users, </w:t>
      </w:r>
      <w:r w:rsidRPr="007C5467">
        <w:rPr>
          <w:b/>
        </w:rPr>
        <w:t xml:space="preserve">Ericsson, RED Technologies, and Qualcomm have initiated </w:t>
      </w:r>
      <w:proofErr w:type="gramStart"/>
      <w:r w:rsidRPr="007C5467">
        <w:rPr>
          <w:b/>
        </w:rPr>
        <w:t>an LSA</w:t>
      </w:r>
      <w:proofErr w:type="gramEnd"/>
      <w:r w:rsidRPr="007C5467">
        <w:rPr>
          <w:b/>
        </w:rPr>
        <w:t xml:space="preserve"> field experimentation in Paris, France. </w:t>
      </w:r>
    </w:p>
    <w:p w:rsidR="00521A9E" w:rsidRPr="00CE2CF7" w:rsidRDefault="00521A9E" w:rsidP="0052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pPr>
      <w:r w:rsidRPr="00CE2CF7">
        <w:t xml:space="preserve">This initiative received the active support of the ANFR, the French regulator ARCEP and the French Ministry of Defence. </w:t>
      </w:r>
    </w:p>
    <w:p w:rsidR="00521A9E" w:rsidRPr="00F84CCB" w:rsidRDefault="00521A9E" w:rsidP="0052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pPr>
      <w:r w:rsidRPr="00F84CCB">
        <w:t xml:space="preserve">The main purpose was to demonstrate, using latest commercial LTE radio network and user equipment, timely spectrum evacuations upon request from incumbent users while keeping LSA licensee users with uninterrupted broadband connectivity. </w:t>
      </w:r>
    </w:p>
    <w:p w:rsidR="00521A9E" w:rsidRDefault="00521A9E" w:rsidP="0052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pPr>
      <w:r>
        <w:t>This was achieved thanks to t</w:t>
      </w:r>
      <w:r w:rsidRPr="00CE2CF7">
        <w:t xml:space="preserve">he combination of Ericsson’s latest Carrier Aggregation technology with RED Technologies’ spectrum assessment and management technologies. </w:t>
      </w:r>
    </w:p>
    <w:p w:rsidR="00521A9E" w:rsidRPr="00CE2CF7" w:rsidRDefault="00521A9E" w:rsidP="0052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pPr>
      <w:r w:rsidRPr="00CE2CF7">
        <w:t xml:space="preserve">These solutions, combined within a state-of-the art LSA user framework enabled by Qualcomm Technologies and applicable to 5G, </w:t>
      </w:r>
      <w:r>
        <w:t>were</w:t>
      </w:r>
      <w:r w:rsidRPr="00CE2CF7">
        <w:t xml:space="preserve"> a powerful world first. </w:t>
      </w:r>
    </w:p>
    <w:p w:rsidR="00521A9E" w:rsidRPr="00CE2CF7" w:rsidRDefault="00521A9E" w:rsidP="00521A9E">
      <w:pPr>
        <w:spacing w:before="100" w:beforeAutospacing="1" w:after="100" w:afterAutospacing="1" w:line="240" w:lineRule="auto"/>
        <w:rPr>
          <w:rFonts w:eastAsia="Times New Roman" w:cs="Times New Roman"/>
          <w:lang w:eastAsia="en-GB"/>
        </w:rPr>
      </w:pPr>
      <w:r w:rsidRPr="00CE2CF7">
        <w:rPr>
          <w:rFonts w:eastAsia="Times New Roman" w:cs="Times New Roman"/>
          <w:lang w:eastAsia="en-GB"/>
        </w:rPr>
        <w:t>The French regulatory authority ARCEP and the Ministry of Defence auth</w:t>
      </w:r>
      <w:r>
        <w:rPr>
          <w:rFonts w:eastAsia="Times New Roman" w:cs="Times New Roman"/>
          <w:lang w:eastAsia="en-GB"/>
        </w:rPr>
        <w:t>orised the use of the 2.3-2.4 GH</w:t>
      </w:r>
      <w:r w:rsidRPr="00CE2CF7">
        <w:rPr>
          <w:rFonts w:eastAsia="Times New Roman" w:cs="Times New Roman"/>
          <w:lang w:eastAsia="en-GB"/>
        </w:rPr>
        <w:t xml:space="preserve">z band for the </w:t>
      </w:r>
      <w:r>
        <w:rPr>
          <w:rFonts w:eastAsia="Times New Roman" w:cs="Times New Roman"/>
          <w:lang w:eastAsia="en-GB"/>
        </w:rPr>
        <w:t xml:space="preserve">LSA </w:t>
      </w:r>
      <w:r w:rsidRPr="00CE2CF7">
        <w:rPr>
          <w:rFonts w:eastAsia="Times New Roman" w:cs="Times New Roman"/>
          <w:lang w:eastAsia="en-GB"/>
        </w:rPr>
        <w:t>pilot</w:t>
      </w:r>
      <w:r>
        <w:rPr>
          <w:rFonts w:eastAsia="Times New Roman" w:cs="Times New Roman"/>
          <w:lang w:eastAsia="en-GB"/>
        </w:rPr>
        <w:t xml:space="preserve"> (trial)</w:t>
      </w:r>
      <w:r w:rsidRPr="00CE2CF7">
        <w:rPr>
          <w:rFonts w:eastAsia="Times New Roman" w:cs="Times New Roman"/>
          <w:lang w:eastAsia="en-GB"/>
        </w:rPr>
        <w:t xml:space="preserve">. </w:t>
      </w:r>
    </w:p>
    <w:p w:rsidR="00521A9E" w:rsidRDefault="00521A9E" w:rsidP="0052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pPr>
      <w:r w:rsidRPr="00CE2CF7">
        <w:t xml:space="preserve">The </w:t>
      </w:r>
      <w:r>
        <w:t xml:space="preserve">LSA </w:t>
      </w:r>
      <w:r w:rsidRPr="00CE2CF7">
        <w:t xml:space="preserve">pilot run </w:t>
      </w:r>
      <w:r>
        <w:t xml:space="preserve">uninterrupted and </w:t>
      </w:r>
      <w:r w:rsidRPr="00CE2CF7">
        <w:t>successfully over 6 months</w:t>
      </w:r>
      <w:r>
        <w:t xml:space="preserve">, served for demonstration events, internal research &amp; development, and dissemination in standards. </w:t>
      </w:r>
    </w:p>
    <w:p w:rsidR="00521A9E" w:rsidRPr="00CE2CF7" w:rsidRDefault="00521A9E" w:rsidP="0052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pPr>
      <w:r>
        <w:t xml:space="preserve">The pilot </w:t>
      </w:r>
      <w:r w:rsidRPr="00CE2CF7">
        <w:t>was completed in June 2016.</w:t>
      </w:r>
    </w:p>
    <w:p w:rsidR="00521A9E" w:rsidRDefault="00521A9E" w:rsidP="00521A9E">
      <w:pPr>
        <w:pStyle w:val="Titre1"/>
        <w:rPr>
          <w:rFonts w:asciiTheme="minorHAnsi" w:hAnsiTheme="minorHAnsi"/>
          <w:sz w:val="22"/>
          <w:szCs w:val="22"/>
        </w:rPr>
      </w:pPr>
      <w:r>
        <w:rPr>
          <w:rFonts w:asciiTheme="minorHAnsi" w:hAnsiTheme="minorHAnsi"/>
          <w:sz w:val="22"/>
          <w:szCs w:val="22"/>
        </w:rPr>
        <w:t>Pilot Fundamentals</w:t>
      </w:r>
    </w:p>
    <w:p w:rsidR="00521A9E" w:rsidRPr="00CE2CF7" w:rsidRDefault="00521A9E" w:rsidP="00521A9E">
      <w:pPr>
        <w:spacing w:after="120"/>
        <w:jc w:val="both"/>
        <w:rPr>
          <w:iCs/>
          <w:lang w:val="en-US"/>
        </w:rPr>
      </w:pPr>
      <w:r w:rsidRPr="00CE2CF7">
        <w:rPr>
          <w:iCs/>
          <w:lang w:val="en-US"/>
        </w:rPr>
        <w:t>The LSA pilot consisted in a field test introducing live mobile broadband service under Licensed Shared Access (LSA) regulatory and technology framework as per CEPT (European Conference of Postal and Telecommunications) and ETSI (European Telecommunication Standardization Institute) definition</w:t>
      </w:r>
      <w:r>
        <w:rPr>
          <w:iCs/>
          <w:lang w:val="en-US"/>
        </w:rPr>
        <w:t xml:space="preserve"> in line with the recommendations of the RSPG Opinion on LSA</w:t>
      </w:r>
      <w:r w:rsidRPr="00CE2CF7">
        <w:rPr>
          <w:iCs/>
          <w:lang w:val="en-US"/>
        </w:rPr>
        <w:t xml:space="preserve">. </w:t>
      </w:r>
    </w:p>
    <w:p w:rsidR="00521A9E" w:rsidRDefault="00521A9E" w:rsidP="00521A9E">
      <w:pPr>
        <w:spacing w:after="120"/>
        <w:jc w:val="both"/>
        <w:rPr>
          <w:iCs/>
        </w:rPr>
      </w:pPr>
      <w:r w:rsidRPr="00CE2CF7">
        <w:rPr>
          <w:iCs/>
          <w:lang w:val="en-US"/>
        </w:rPr>
        <w:t xml:space="preserve">The pilot used 2 x 15 MHz frequency </w:t>
      </w:r>
      <w:r>
        <w:rPr>
          <w:iCs/>
          <w:lang w:val="en-US"/>
        </w:rPr>
        <w:t>aggregated carriers</w:t>
      </w:r>
      <w:r w:rsidRPr="00CE2CF7">
        <w:rPr>
          <w:iCs/>
          <w:lang w:val="en-US"/>
        </w:rPr>
        <w:t xml:space="preserve"> on IMT TDD Band 40 (</w:t>
      </w:r>
      <w:r>
        <w:t>2.3-2.4 GH</w:t>
      </w:r>
      <w:r w:rsidRPr="00CE2CF7">
        <w:t>z)</w:t>
      </w:r>
      <w:r>
        <w:t xml:space="preserve"> on a dedicated areas (</w:t>
      </w:r>
      <w:r w:rsidRPr="00B639A9">
        <w:t>Red Technologies premises in Paris</w:t>
      </w:r>
      <w:r>
        <w:t>)</w:t>
      </w:r>
      <w:r w:rsidRPr="00CE2CF7">
        <w:rPr>
          <w:iCs/>
        </w:rPr>
        <w:t xml:space="preserve">. </w:t>
      </w:r>
      <w:r>
        <w:rPr>
          <w:iCs/>
          <w:lang w:val="en-US"/>
        </w:rPr>
        <w:t>The second carrier was operating under LSA restrictions as Secondary Component Carrier (SCC) while the first carrier was not subject to LSA restriction (Primary Component Carrier) to guaranty service continuity to LSA licensee users.</w:t>
      </w:r>
    </w:p>
    <w:p w:rsidR="00521A9E" w:rsidRDefault="00521A9E" w:rsidP="00521A9E">
      <w:pPr>
        <w:spacing w:after="120"/>
        <w:jc w:val="both"/>
        <w:rPr>
          <w:iCs/>
        </w:rPr>
      </w:pPr>
      <w:r w:rsidRPr="00CE2CF7">
        <w:rPr>
          <w:iCs/>
          <w:lang w:val="en-US"/>
        </w:rPr>
        <w:lastRenderedPageBreak/>
        <w:t>Th</w:t>
      </w:r>
      <w:r>
        <w:rPr>
          <w:iCs/>
          <w:lang w:val="en-US"/>
        </w:rPr>
        <w:t>e allocation of channels followed</w:t>
      </w:r>
      <w:r w:rsidRPr="00CE2CF7">
        <w:rPr>
          <w:iCs/>
          <w:lang w:val="en-US"/>
        </w:rPr>
        <w:t xml:space="preserve"> E-UTRA Channel Bandwidth </w:t>
      </w:r>
      <w:r>
        <w:rPr>
          <w:iCs/>
          <w:lang w:val="en-US"/>
        </w:rPr>
        <w:t xml:space="preserve">as </w:t>
      </w:r>
      <w:r w:rsidRPr="00CE2CF7">
        <w:rPr>
          <w:iCs/>
          <w:lang w:val="en-US"/>
        </w:rPr>
        <w:t>per 3GPP TS 36.101</w:t>
      </w:r>
      <w:r w:rsidRPr="00CE2CF7">
        <w:rPr>
          <w:iCs/>
        </w:rPr>
        <w:t xml:space="preserve">. </w:t>
      </w:r>
    </w:p>
    <w:p w:rsidR="00521A9E" w:rsidRDefault="00521A9E" w:rsidP="00521A9E">
      <w:pPr>
        <w:spacing w:after="120"/>
        <w:jc w:val="both"/>
        <w:rPr>
          <w:iCs/>
          <w:lang w:val="en-US"/>
        </w:rPr>
      </w:pPr>
      <w:r w:rsidRPr="00CE2CF7">
        <w:rPr>
          <w:iCs/>
          <w:lang w:val="en-US"/>
        </w:rPr>
        <w:t xml:space="preserve">The LSA pilot was operating indoor on-field conditions with commercial </w:t>
      </w:r>
      <w:proofErr w:type="spellStart"/>
      <w:r w:rsidRPr="00CE2CF7">
        <w:rPr>
          <w:iCs/>
          <w:lang w:val="en-US"/>
        </w:rPr>
        <w:t>eNBs</w:t>
      </w:r>
      <w:proofErr w:type="spellEnd"/>
      <w:r w:rsidRPr="00CE2CF7">
        <w:rPr>
          <w:iCs/>
          <w:lang w:val="en-US"/>
        </w:rPr>
        <w:t xml:space="preserve"> and UEs.</w:t>
      </w:r>
      <w:r>
        <w:rPr>
          <w:iCs/>
          <w:lang w:val="en-US"/>
        </w:rPr>
        <w:t xml:space="preserve"> </w:t>
      </w:r>
    </w:p>
    <w:p w:rsidR="00521A9E" w:rsidRDefault="00521A9E" w:rsidP="00521A9E">
      <w:pPr>
        <w:spacing w:after="120"/>
        <w:jc w:val="both"/>
        <w:rPr>
          <w:iCs/>
          <w:lang w:val="en-US"/>
        </w:rPr>
      </w:pPr>
      <w:r w:rsidRPr="00CE2CF7">
        <w:rPr>
          <w:iCs/>
          <w:lang w:val="en-US"/>
        </w:rPr>
        <w:t xml:space="preserve">The LSA repository </w:t>
      </w:r>
      <w:r>
        <w:rPr>
          <w:iCs/>
          <w:lang w:val="en-US"/>
        </w:rPr>
        <w:t>and LSA Controller interoperated</w:t>
      </w:r>
      <w:r w:rsidRPr="00CE2CF7">
        <w:rPr>
          <w:iCs/>
          <w:lang w:val="en-US"/>
        </w:rPr>
        <w:t xml:space="preserve"> through ETSI standard interface </w:t>
      </w:r>
      <w:r>
        <w:rPr>
          <w:iCs/>
          <w:lang w:val="en-US"/>
        </w:rPr>
        <w:t>LSA-1.</w:t>
      </w:r>
    </w:p>
    <w:p w:rsidR="00521A9E" w:rsidRDefault="00521A9E" w:rsidP="00521A9E">
      <w:pPr>
        <w:rPr>
          <w:iCs/>
          <w:lang w:val="en-US"/>
        </w:rPr>
      </w:pPr>
      <w:r>
        <w:rPr>
          <w:iCs/>
          <w:lang w:val="en-US"/>
        </w:rPr>
        <w:t>I</w:t>
      </w:r>
      <w:r w:rsidRPr="00CE2CF7">
        <w:rPr>
          <w:iCs/>
          <w:lang w:val="en-US"/>
        </w:rPr>
        <w:t xml:space="preserve">ncumbent spectrum usage was emulated following 3 </w:t>
      </w:r>
      <w:proofErr w:type="spellStart"/>
      <w:r w:rsidRPr="00CE2CF7">
        <w:rPr>
          <w:iCs/>
          <w:lang w:val="en-US"/>
        </w:rPr>
        <w:t>scenarii</w:t>
      </w:r>
      <w:proofErr w:type="spellEnd"/>
      <w:r w:rsidRPr="00CE2CF7">
        <w:rPr>
          <w:iCs/>
          <w:lang w:val="en-US"/>
        </w:rPr>
        <w:t xml:space="preserve">: </w:t>
      </w:r>
    </w:p>
    <w:p w:rsidR="00521A9E" w:rsidRDefault="00521A9E" w:rsidP="00521A9E">
      <w:pPr>
        <w:pStyle w:val="Paragraphedeliste"/>
        <w:numPr>
          <w:ilvl w:val="0"/>
          <w:numId w:val="2"/>
        </w:numPr>
        <w:rPr>
          <w:iCs/>
          <w:lang w:val="en-US"/>
        </w:rPr>
      </w:pPr>
      <w:r w:rsidRPr="00AE0549">
        <w:rPr>
          <w:iCs/>
          <w:lang w:val="en-US"/>
        </w:rPr>
        <w:t xml:space="preserve">Telemetry Radar protected by static Exclusion Zones, </w:t>
      </w:r>
    </w:p>
    <w:p w:rsidR="00521A9E" w:rsidRPr="00EB0CEC" w:rsidRDefault="00521A9E" w:rsidP="00521A9E">
      <w:pPr>
        <w:ind w:left="360"/>
        <w:jc w:val="center"/>
        <w:rPr>
          <w:iCs/>
          <w:noProof/>
          <w:lang w:eastAsia="en-GB"/>
        </w:rPr>
      </w:pPr>
      <w:r w:rsidRPr="00EB0CEC">
        <w:rPr>
          <w:iCs/>
          <w:noProof/>
          <w:lang w:val="fr-FR" w:eastAsia="fr-FR"/>
        </w:rPr>
        <w:drawing>
          <wp:inline distT="0" distB="0" distL="0" distR="0" wp14:anchorId="34AC111A" wp14:editId="4818E5FD">
            <wp:extent cx="3547916" cy="1996440"/>
            <wp:effectExtent l="0" t="0" r="0" b="381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5758" cy="2000853"/>
                    </a:xfrm>
                    <a:prstGeom prst="rect">
                      <a:avLst/>
                    </a:prstGeom>
                  </pic:spPr>
                </pic:pic>
              </a:graphicData>
            </a:graphic>
          </wp:inline>
        </w:drawing>
      </w:r>
    </w:p>
    <w:p w:rsidR="00521A9E" w:rsidRDefault="00521A9E" w:rsidP="00521A9E">
      <w:pPr>
        <w:pStyle w:val="Paragraphedeliste"/>
        <w:numPr>
          <w:ilvl w:val="0"/>
          <w:numId w:val="2"/>
        </w:numPr>
        <w:rPr>
          <w:iCs/>
          <w:lang w:val="en-US"/>
        </w:rPr>
      </w:pPr>
      <w:r w:rsidRPr="00AE0549">
        <w:rPr>
          <w:iCs/>
          <w:lang w:val="en-US"/>
        </w:rPr>
        <w:t xml:space="preserve">Wireless Camera Video Links protected by dynamic Protection Zones, and </w:t>
      </w:r>
    </w:p>
    <w:p w:rsidR="00521A9E" w:rsidRPr="00EB0CEC" w:rsidRDefault="00521A9E" w:rsidP="00521A9E">
      <w:pPr>
        <w:ind w:left="360"/>
        <w:jc w:val="center"/>
        <w:rPr>
          <w:iCs/>
          <w:lang w:val="en-US"/>
        </w:rPr>
      </w:pPr>
      <w:r w:rsidRPr="00CE2CF7">
        <w:rPr>
          <w:iCs/>
          <w:noProof/>
          <w:lang w:val="fr-FR" w:eastAsia="fr-FR"/>
        </w:rPr>
        <w:drawing>
          <wp:inline distT="0" distB="0" distL="0" distR="0" wp14:anchorId="7E3C090D" wp14:editId="6034385F">
            <wp:extent cx="3648070" cy="2051989"/>
            <wp:effectExtent l="0" t="0" r="0" b="571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4327" cy="2061133"/>
                    </a:xfrm>
                    <a:prstGeom prst="rect">
                      <a:avLst/>
                    </a:prstGeom>
                  </pic:spPr>
                </pic:pic>
              </a:graphicData>
            </a:graphic>
          </wp:inline>
        </w:drawing>
      </w:r>
    </w:p>
    <w:p w:rsidR="00521A9E" w:rsidRDefault="00521A9E" w:rsidP="00521A9E">
      <w:pPr>
        <w:pStyle w:val="Paragraphedeliste"/>
        <w:numPr>
          <w:ilvl w:val="0"/>
          <w:numId w:val="2"/>
        </w:numPr>
        <w:rPr>
          <w:iCs/>
          <w:lang w:val="en-US"/>
        </w:rPr>
      </w:pPr>
      <w:r w:rsidRPr="00AE0549">
        <w:rPr>
          <w:iCs/>
          <w:lang w:val="en-US"/>
        </w:rPr>
        <w:t xml:space="preserve">Tactical PMR protected by dynamic Protection Zones. </w:t>
      </w:r>
    </w:p>
    <w:p w:rsidR="00521A9E" w:rsidRPr="00EB0CEC" w:rsidRDefault="00521A9E" w:rsidP="00521A9E">
      <w:pPr>
        <w:ind w:left="360"/>
        <w:jc w:val="center"/>
        <w:rPr>
          <w:iCs/>
          <w:noProof/>
          <w:lang w:eastAsia="en-GB"/>
        </w:rPr>
      </w:pPr>
      <w:r w:rsidRPr="00EB0CEC">
        <w:rPr>
          <w:iCs/>
          <w:noProof/>
          <w:lang w:val="fr-FR" w:eastAsia="fr-FR"/>
        </w:rPr>
        <w:drawing>
          <wp:inline distT="0" distB="0" distL="0" distR="0" wp14:anchorId="4E639011" wp14:editId="5C9ACA2B">
            <wp:extent cx="3743325" cy="2105569"/>
            <wp:effectExtent l="0" t="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1130" cy="2109959"/>
                    </a:xfrm>
                    <a:prstGeom prst="rect">
                      <a:avLst/>
                    </a:prstGeom>
                  </pic:spPr>
                </pic:pic>
              </a:graphicData>
            </a:graphic>
          </wp:inline>
        </w:drawing>
      </w:r>
    </w:p>
    <w:p w:rsidR="00521A9E" w:rsidRDefault="00521A9E" w:rsidP="00521A9E">
      <w:pPr>
        <w:pStyle w:val="Titre1"/>
        <w:rPr>
          <w:rFonts w:asciiTheme="minorHAnsi" w:hAnsiTheme="minorHAnsi"/>
          <w:sz w:val="22"/>
          <w:szCs w:val="22"/>
        </w:rPr>
      </w:pPr>
      <w:r>
        <w:rPr>
          <w:rFonts w:asciiTheme="minorHAnsi" w:hAnsiTheme="minorHAnsi"/>
          <w:sz w:val="22"/>
          <w:szCs w:val="22"/>
        </w:rPr>
        <w:t>Pilot Layout</w:t>
      </w:r>
    </w:p>
    <w:p w:rsidR="00521A9E" w:rsidRPr="00671A9A" w:rsidRDefault="00521A9E" w:rsidP="00521A9E">
      <w:pPr>
        <w:rPr>
          <w:lang w:eastAsia="de-DE"/>
        </w:rPr>
      </w:pPr>
      <w:r w:rsidRPr="00CE2CF7">
        <w:rPr>
          <w:rFonts w:cs="Arial"/>
          <w:noProof/>
          <w:lang w:val="fr-FR" w:eastAsia="fr-FR"/>
        </w:rPr>
        <w:lastRenderedPageBreak/>
        <w:drawing>
          <wp:inline distT="0" distB="0" distL="0" distR="0" wp14:anchorId="394AC656" wp14:editId="04A7AE9B">
            <wp:extent cx="5731510" cy="3272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72155"/>
                    </a:xfrm>
                    <a:prstGeom prst="rect">
                      <a:avLst/>
                    </a:prstGeom>
                    <a:noFill/>
                  </pic:spPr>
                </pic:pic>
              </a:graphicData>
            </a:graphic>
          </wp:inline>
        </w:drawing>
      </w:r>
    </w:p>
    <w:p w:rsidR="00521A9E" w:rsidRDefault="00521A9E" w:rsidP="00521A9E">
      <w:pPr>
        <w:pStyle w:val="Titre1"/>
        <w:rPr>
          <w:rFonts w:asciiTheme="minorHAnsi" w:hAnsiTheme="minorHAnsi"/>
          <w:sz w:val="22"/>
          <w:szCs w:val="22"/>
        </w:rPr>
      </w:pPr>
      <w:r>
        <w:rPr>
          <w:rFonts w:asciiTheme="minorHAnsi" w:hAnsiTheme="minorHAnsi"/>
          <w:sz w:val="22"/>
          <w:szCs w:val="22"/>
        </w:rPr>
        <w:t>Relevance with Regulatory and Standard bodies</w:t>
      </w:r>
    </w:p>
    <w:p w:rsidR="00521A9E" w:rsidRPr="002B6539" w:rsidRDefault="00521A9E" w:rsidP="00521A9E">
      <w:pPr>
        <w:rPr>
          <w:iCs/>
          <w:lang w:val="en-US"/>
        </w:rPr>
      </w:pPr>
      <w:r w:rsidRPr="002B6539">
        <w:rPr>
          <w:iCs/>
          <w:lang w:val="en-US"/>
        </w:rPr>
        <w:t>The incumbent protection criteria and sharing rules were derived from the following documents:</w:t>
      </w:r>
    </w:p>
    <w:p w:rsidR="00521A9E" w:rsidRPr="002B6539" w:rsidRDefault="00521A9E" w:rsidP="00521A9E">
      <w:pPr>
        <w:pStyle w:val="Paragraphedeliste"/>
        <w:numPr>
          <w:ilvl w:val="0"/>
          <w:numId w:val="2"/>
        </w:numPr>
        <w:rPr>
          <w:iCs/>
          <w:lang w:val="en-US"/>
        </w:rPr>
      </w:pPr>
      <w:r w:rsidRPr="002B6539">
        <w:rPr>
          <w:b/>
          <w:iCs/>
          <w:lang w:val="en-US"/>
        </w:rPr>
        <w:t>ECC Report 172</w:t>
      </w:r>
      <w:r w:rsidRPr="002B6539">
        <w:rPr>
          <w:iCs/>
          <w:lang w:val="en-US"/>
        </w:rPr>
        <w:t xml:space="preserve">: Broadband Wireless Systems Usage in 2300-2400 MHz </w:t>
      </w:r>
    </w:p>
    <w:p w:rsidR="00521A9E" w:rsidRPr="002B6539" w:rsidRDefault="00521A9E" w:rsidP="00521A9E">
      <w:pPr>
        <w:pStyle w:val="Paragraphedeliste"/>
        <w:numPr>
          <w:ilvl w:val="0"/>
          <w:numId w:val="2"/>
        </w:numPr>
        <w:rPr>
          <w:iCs/>
          <w:lang w:val="en-US"/>
        </w:rPr>
      </w:pPr>
      <w:r w:rsidRPr="002B6539">
        <w:rPr>
          <w:b/>
          <w:iCs/>
          <w:lang w:val="en-US"/>
        </w:rPr>
        <w:t>ECC Report 205</w:t>
      </w:r>
      <w:r w:rsidRPr="002B6539">
        <w:rPr>
          <w:iCs/>
          <w:lang w:val="en-US"/>
        </w:rPr>
        <w:t>: "Licensed Shared Access (LSA)"</w:t>
      </w:r>
    </w:p>
    <w:p w:rsidR="00521A9E" w:rsidRPr="002B6539" w:rsidRDefault="00521A9E" w:rsidP="00521A9E">
      <w:pPr>
        <w:pStyle w:val="Paragraphedeliste"/>
        <w:numPr>
          <w:ilvl w:val="0"/>
          <w:numId w:val="2"/>
        </w:numPr>
        <w:rPr>
          <w:iCs/>
          <w:lang w:val="en-US"/>
        </w:rPr>
      </w:pPr>
      <w:r w:rsidRPr="002B6539">
        <w:rPr>
          <w:b/>
          <w:iCs/>
          <w:lang w:val="en-US"/>
        </w:rPr>
        <w:t>ECC Report 219</w:t>
      </w:r>
      <w:r w:rsidRPr="002B6539">
        <w:rPr>
          <w:iCs/>
          <w:lang w:val="en-US"/>
        </w:rPr>
        <w:t>: Characteristics of PMSE digital video links to be used in compatibility and sharing studies</w:t>
      </w:r>
    </w:p>
    <w:p w:rsidR="00521A9E" w:rsidRPr="002B6539" w:rsidRDefault="00521A9E" w:rsidP="00521A9E">
      <w:pPr>
        <w:pStyle w:val="Paragraphedeliste"/>
        <w:numPr>
          <w:ilvl w:val="0"/>
          <w:numId w:val="2"/>
        </w:numPr>
        <w:rPr>
          <w:iCs/>
          <w:lang w:val="en-US"/>
        </w:rPr>
      </w:pPr>
      <w:r w:rsidRPr="002B6539">
        <w:rPr>
          <w:b/>
          <w:iCs/>
          <w:lang w:val="en-US"/>
        </w:rPr>
        <w:t>CEPT Report 055</w:t>
      </w:r>
      <w:r w:rsidRPr="002B6539">
        <w:rPr>
          <w:iCs/>
          <w:lang w:val="en-US"/>
        </w:rPr>
        <w:t>: "Harmonized technical conditions for the 2300-2400 MHz in the EU for the provision of wireless broadband electronic communications services"</w:t>
      </w:r>
    </w:p>
    <w:p w:rsidR="00521A9E" w:rsidRPr="002B6539" w:rsidRDefault="00521A9E" w:rsidP="00521A9E">
      <w:pPr>
        <w:pStyle w:val="Paragraphedeliste"/>
        <w:numPr>
          <w:ilvl w:val="0"/>
          <w:numId w:val="2"/>
        </w:numPr>
        <w:rPr>
          <w:iCs/>
          <w:lang w:val="en-US"/>
        </w:rPr>
      </w:pPr>
      <w:r w:rsidRPr="002B6539">
        <w:rPr>
          <w:b/>
          <w:iCs/>
          <w:lang w:val="en-US"/>
        </w:rPr>
        <w:t>CEPT Report 056</w:t>
      </w:r>
      <w:r w:rsidRPr="002B6539">
        <w:rPr>
          <w:iCs/>
          <w:lang w:val="en-US"/>
        </w:rPr>
        <w:t>: "Technological and regulatory options facilitating sharing between Wireless broadband applications (WBB) and the relevant incumbent service/application in the 2.3 GHz band"</w:t>
      </w:r>
    </w:p>
    <w:p w:rsidR="00521A9E" w:rsidRDefault="00521A9E" w:rsidP="00521A9E">
      <w:pPr>
        <w:pStyle w:val="Paragraphedeliste"/>
        <w:numPr>
          <w:ilvl w:val="0"/>
          <w:numId w:val="2"/>
        </w:numPr>
        <w:rPr>
          <w:iCs/>
          <w:lang w:val="en-US"/>
        </w:rPr>
      </w:pPr>
      <w:r w:rsidRPr="002B6539">
        <w:rPr>
          <w:b/>
          <w:iCs/>
          <w:lang w:val="en-US"/>
        </w:rPr>
        <w:t>CEPT Report 058</w:t>
      </w:r>
      <w:r w:rsidRPr="002B6539">
        <w:rPr>
          <w:iCs/>
          <w:lang w:val="en-US"/>
        </w:rPr>
        <w:t>: "Technical sharing solutions for the shared use of the 2300-2400 MHz band for WBB (Wireless Broadband) and PMSE"</w:t>
      </w:r>
    </w:p>
    <w:p w:rsidR="00521A9E" w:rsidRPr="00367251" w:rsidRDefault="00521A9E" w:rsidP="00521A9E">
      <w:pPr>
        <w:pStyle w:val="Paragraphedeliste"/>
        <w:numPr>
          <w:ilvl w:val="0"/>
          <w:numId w:val="2"/>
        </w:numPr>
        <w:rPr>
          <w:iCs/>
          <w:lang w:val="fr-FR"/>
        </w:rPr>
      </w:pPr>
      <w:r w:rsidRPr="00367251">
        <w:rPr>
          <w:b/>
          <w:iCs/>
          <w:lang w:val="fr-FR"/>
        </w:rPr>
        <w:t xml:space="preserve">ANFR Sharing </w:t>
      </w:r>
      <w:proofErr w:type="spellStart"/>
      <w:r w:rsidRPr="00367251">
        <w:rPr>
          <w:b/>
          <w:iCs/>
          <w:lang w:val="fr-FR"/>
        </w:rPr>
        <w:t>study</w:t>
      </w:r>
      <w:proofErr w:type="spellEnd"/>
      <w:r w:rsidRPr="00367251">
        <w:rPr>
          <w:b/>
          <w:iCs/>
          <w:lang w:val="fr-FR"/>
        </w:rPr>
        <w:t xml:space="preserve"> </w:t>
      </w:r>
      <w:r>
        <w:rPr>
          <w:b/>
          <w:iCs/>
          <w:lang w:val="fr-FR"/>
        </w:rPr>
        <w:t>« </w:t>
      </w:r>
      <w:r w:rsidRPr="00367251">
        <w:rPr>
          <w:b/>
          <w:iCs/>
          <w:lang w:val="fr-FR"/>
        </w:rPr>
        <w:t xml:space="preserve">Introduction des mobiles large bande à 2,3-2,4 GHz dans un contexte d’accès partagé au spectre sous licence (LSA, </w:t>
      </w:r>
      <w:proofErr w:type="spellStart"/>
      <w:r w:rsidRPr="00367251">
        <w:rPr>
          <w:b/>
          <w:iCs/>
          <w:lang w:val="fr-FR"/>
        </w:rPr>
        <w:t>Licensed</w:t>
      </w:r>
      <w:proofErr w:type="spellEnd"/>
      <w:r w:rsidRPr="00367251">
        <w:rPr>
          <w:b/>
          <w:iCs/>
          <w:lang w:val="fr-FR"/>
        </w:rPr>
        <w:t xml:space="preserve"> </w:t>
      </w:r>
      <w:proofErr w:type="spellStart"/>
      <w:r w:rsidRPr="00367251">
        <w:rPr>
          <w:b/>
          <w:iCs/>
          <w:lang w:val="fr-FR"/>
        </w:rPr>
        <w:t>shared</w:t>
      </w:r>
      <w:proofErr w:type="spellEnd"/>
      <w:r w:rsidRPr="00367251">
        <w:rPr>
          <w:b/>
          <w:iCs/>
          <w:lang w:val="fr-FR"/>
        </w:rPr>
        <w:t xml:space="preserve"> </w:t>
      </w:r>
      <w:proofErr w:type="spellStart"/>
      <w:r w:rsidRPr="00367251">
        <w:rPr>
          <w:b/>
          <w:iCs/>
          <w:lang w:val="fr-FR"/>
        </w:rPr>
        <w:t>access</w:t>
      </w:r>
      <w:proofErr w:type="spellEnd"/>
      <w:r w:rsidRPr="00367251">
        <w:rPr>
          <w:b/>
          <w:iCs/>
          <w:lang w:val="fr-FR"/>
        </w:rPr>
        <w:t>)</w:t>
      </w:r>
      <w:r>
        <w:rPr>
          <w:b/>
          <w:iCs/>
          <w:lang w:val="fr-FR"/>
        </w:rPr>
        <w:t> »</w:t>
      </w:r>
      <w:r>
        <w:rPr>
          <w:rStyle w:val="Appelnotedebasdep"/>
          <w:b/>
          <w:iCs/>
          <w:lang w:val="fr-FR"/>
        </w:rPr>
        <w:footnoteReference w:id="1"/>
      </w:r>
    </w:p>
    <w:p w:rsidR="00521A9E" w:rsidRPr="002B6539" w:rsidRDefault="00521A9E" w:rsidP="00521A9E">
      <w:pPr>
        <w:rPr>
          <w:iCs/>
          <w:lang w:val="en-US"/>
        </w:rPr>
      </w:pPr>
      <w:r w:rsidRPr="002B6539">
        <w:rPr>
          <w:iCs/>
          <w:lang w:val="en-US"/>
        </w:rPr>
        <w:t xml:space="preserve">Furthermore, in order to ensure relevance and raise maximum interest from </w:t>
      </w:r>
      <w:r>
        <w:rPr>
          <w:iCs/>
          <w:lang w:val="en-US"/>
        </w:rPr>
        <w:t>the industry</w:t>
      </w:r>
      <w:r w:rsidRPr="002B6539">
        <w:rPr>
          <w:iCs/>
          <w:lang w:val="en-US"/>
        </w:rPr>
        <w:t xml:space="preserve">, the LSA Repository and LSA Controller implementation </w:t>
      </w:r>
      <w:r>
        <w:rPr>
          <w:iCs/>
          <w:lang w:val="en-US"/>
        </w:rPr>
        <w:t>was developed</w:t>
      </w:r>
      <w:r w:rsidRPr="002B6539">
        <w:rPr>
          <w:iCs/>
          <w:lang w:val="en-US"/>
        </w:rPr>
        <w:t xml:space="preserve"> in compliance with:</w:t>
      </w:r>
    </w:p>
    <w:p w:rsidR="00521A9E" w:rsidRPr="00856D1E" w:rsidRDefault="00521A9E" w:rsidP="00521A9E">
      <w:pPr>
        <w:pStyle w:val="Paragraphedeliste"/>
        <w:numPr>
          <w:ilvl w:val="0"/>
          <w:numId w:val="2"/>
        </w:numPr>
        <w:rPr>
          <w:iCs/>
          <w:lang w:val="en-US"/>
        </w:rPr>
      </w:pPr>
      <w:r w:rsidRPr="00856D1E">
        <w:rPr>
          <w:b/>
          <w:iCs/>
          <w:lang w:val="en-US"/>
        </w:rPr>
        <w:t>ETSI TS 103 154</w:t>
      </w:r>
      <w:r w:rsidRPr="00856D1E">
        <w:rPr>
          <w:iCs/>
          <w:lang w:val="en-US"/>
        </w:rPr>
        <w:t>, “Reconfigurable Radio Systems (RRS); System requirements for operation of Mobile Broadband Systems in the 2300 MHz - 2400 MHz band under Licensed Shared Access (LSA)”</w:t>
      </w:r>
    </w:p>
    <w:p w:rsidR="00521A9E" w:rsidRDefault="00521A9E" w:rsidP="00521A9E">
      <w:pPr>
        <w:pStyle w:val="Paragraphedeliste"/>
        <w:numPr>
          <w:ilvl w:val="0"/>
          <w:numId w:val="2"/>
        </w:numPr>
        <w:rPr>
          <w:iCs/>
          <w:lang w:val="en-US"/>
        </w:rPr>
      </w:pPr>
      <w:r w:rsidRPr="00856D1E">
        <w:rPr>
          <w:b/>
          <w:iCs/>
          <w:lang w:val="en-US"/>
        </w:rPr>
        <w:t>ETSI TS 103 235</w:t>
      </w:r>
      <w:r w:rsidRPr="00856D1E">
        <w:rPr>
          <w:iCs/>
          <w:lang w:val="en-US"/>
        </w:rPr>
        <w:t>, "Reconfigurable Radio Systems (RRS); System Architecture and High Level Procedures for operation of Licensed Shared Access (LSA) in the 2300 MHz-2400 MHz band"</w:t>
      </w:r>
    </w:p>
    <w:p w:rsidR="00521A9E" w:rsidRPr="00EB0CEC" w:rsidRDefault="00521A9E" w:rsidP="00521A9E">
      <w:pPr>
        <w:pStyle w:val="Paragraphedeliste"/>
        <w:numPr>
          <w:ilvl w:val="0"/>
          <w:numId w:val="2"/>
        </w:numPr>
        <w:rPr>
          <w:b/>
          <w:iCs/>
          <w:lang w:val="en-US"/>
        </w:rPr>
      </w:pPr>
      <w:r w:rsidRPr="00EB0CEC">
        <w:rPr>
          <w:b/>
          <w:iCs/>
          <w:lang w:val="en-US"/>
        </w:rPr>
        <w:t xml:space="preserve">ETSI TS </w:t>
      </w:r>
      <w:bookmarkStart w:id="1" w:name="docnumber"/>
      <w:r w:rsidRPr="00EB0CEC">
        <w:rPr>
          <w:b/>
          <w:iCs/>
          <w:lang w:val="en-US"/>
        </w:rPr>
        <w:t>103 379</w:t>
      </w:r>
      <w:bookmarkEnd w:id="1"/>
      <w:r w:rsidRPr="00EB0CEC">
        <w:rPr>
          <w:b/>
          <w:iCs/>
          <w:lang w:val="en-US"/>
        </w:rPr>
        <w:t xml:space="preserve">, </w:t>
      </w:r>
      <w:r w:rsidRPr="00EB0CEC">
        <w:rPr>
          <w:iCs/>
          <w:lang w:val="en-US"/>
        </w:rPr>
        <w:t>“Information elements and protocols for the interface between LSA Controller (LC) and LSA Repository (LR) for operation of Licensed Shared Access (LSA) in the 2300 MHz-2400 MHz band”</w:t>
      </w:r>
    </w:p>
    <w:p w:rsidR="00521A9E" w:rsidRPr="00CE1766" w:rsidRDefault="00521A9E" w:rsidP="00521A9E">
      <w:pPr>
        <w:pStyle w:val="Paragraphedeliste"/>
        <w:numPr>
          <w:ilvl w:val="0"/>
          <w:numId w:val="2"/>
        </w:numPr>
        <w:rPr>
          <w:b/>
          <w:iCs/>
          <w:lang w:val="en-US"/>
        </w:rPr>
      </w:pPr>
      <w:r w:rsidRPr="00856D1E">
        <w:rPr>
          <w:b/>
          <w:iCs/>
          <w:lang w:val="en-US"/>
        </w:rPr>
        <w:t>3GPP TR 32.855</w:t>
      </w:r>
      <w:r w:rsidRPr="00856D1E">
        <w:rPr>
          <w:iCs/>
          <w:lang w:val="en-US"/>
        </w:rPr>
        <w:t>, Study on OAM support for Licensed Shared Access (LSA); (Release 14)</w:t>
      </w:r>
    </w:p>
    <w:p w:rsidR="00521A9E" w:rsidRPr="00CE1766" w:rsidRDefault="00521A9E" w:rsidP="00521A9E">
      <w:pPr>
        <w:pStyle w:val="Paragraphedeliste"/>
        <w:numPr>
          <w:ilvl w:val="0"/>
          <w:numId w:val="2"/>
        </w:numPr>
        <w:rPr>
          <w:b/>
          <w:iCs/>
          <w:lang w:val="en-US"/>
        </w:rPr>
      </w:pPr>
      <w:r w:rsidRPr="00CE1766">
        <w:rPr>
          <w:b/>
          <w:iCs/>
          <w:lang w:val="en-US"/>
        </w:rPr>
        <w:t xml:space="preserve">3GPP </w:t>
      </w:r>
      <w:r w:rsidRPr="00CE1766">
        <w:rPr>
          <w:b/>
        </w:rPr>
        <w:t xml:space="preserve">TS 28.302 </w:t>
      </w:r>
      <w:r w:rsidRPr="00CE1766">
        <w:rPr>
          <w:iCs/>
          <w:lang w:val="en-US"/>
        </w:rPr>
        <w:t>LSA controller (LC) Integration Reference Point (IRP) Information Service</w:t>
      </w:r>
    </w:p>
    <w:p w:rsidR="00521A9E" w:rsidRPr="00F84CCB" w:rsidRDefault="00521A9E" w:rsidP="00521A9E">
      <w:pPr>
        <w:keepLines/>
        <w:widowControl w:val="0"/>
        <w:pBdr>
          <w:top w:val="single" w:sz="4" w:space="1" w:color="auto"/>
          <w:left w:val="single" w:sz="4" w:space="4" w:color="auto"/>
          <w:bottom w:val="single" w:sz="4" w:space="1" w:color="auto"/>
          <w:right w:val="single" w:sz="4" w:space="4" w:color="auto"/>
        </w:pBdr>
        <w:jc w:val="both"/>
        <w:rPr>
          <w:b/>
          <w:lang w:val="en-US" w:eastAsia="de-DE"/>
        </w:rPr>
      </w:pPr>
      <w:r w:rsidRPr="00F84CCB">
        <w:rPr>
          <w:b/>
        </w:rPr>
        <w:lastRenderedPageBreak/>
        <w:t xml:space="preserve">The pilot validates the LSA architecture as defined by CEPT and ETSI and nourishes contributions to </w:t>
      </w:r>
      <w:r>
        <w:rPr>
          <w:b/>
        </w:rPr>
        <w:t>standards</w:t>
      </w:r>
      <w:r w:rsidRPr="00F84CCB">
        <w:rPr>
          <w:b/>
        </w:rPr>
        <w:t xml:space="preserve">. </w:t>
      </w:r>
      <w:r>
        <w:rPr>
          <w:b/>
          <w:lang w:val="en-US" w:eastAsia="de-DE"/>
        </w:rPr>
        <w:t>C</w:t>
      </w:r>
      <w:r w:rsidRPr="00F84CCB">
        <w:rPr>
          <w:b/>
          <w:lang w:val="en-US" w:eastAsia="de-DE"/>
        </w:rPr>
        <w:t xml:space="preserve">ontributions were made based on the experimentation outcomes, and in particular to </w:t>
      </w:r>
      <w:r w:rsidRPr="00F84CCB">
        <w:rPr>
          <w:b/>
          <w:iCs/>
          <w:lang w:val="en-US"/>
        </w:rPr>
        <w:t xml:space="preserve">ETSI TS 103 379, 3GPP TR 32.855, and 3GPP </w:t>
      </w:r>
      <w:r w:rsidRPr="00F84CCB">
        <w:rPr>
          <w:b/>
        </w:rPr>
        <w:t>TS 28.302.</w:t>
      </w:r>
    </w:p>
    <w:p w:rsidR="00521A9E" w:rsidRDefault="00521A9E" w:rsidP="00521A9E">
      <w:pPr>
        <w:pStyle w:val="Titre1"/>
        <w:rPr>
          <w:rFonts w:asciiTheme="minorHAnsi" w:hAnsiTheme="minorHAnsi"/>
          <w:sz w:val="22"/>
          <w:szCs w:val="22"/>
        </w:rPr>
      </w:pPr>
      <w:r>
        <w:rPr>
          <w:rFonts w:asciiTheme="minorHAnsi" w:hAnsiTheme="minorHAnsi"/>
          <w:sz w:val="22"/>
          <w:szCs w:val="22"/>
        </w:rPr>
        <w:t>Results and takeaways</w:t>
      </w:r>
    </w:p>
    <w:p w:rsidR="00521A9E" w:rsidRPr="00AC5D7A" w:rsidRDefault="00521A9E" w:rsidP="00521A9E">
      <w:pPr>
        <w:pBdr>
          <w:top w:val="single" w:sz="4" w:space="1" w:color="auto"/>
          <w:left w:val="single" w:sz="4" w:space="4" w:color="auto"/>
          <w:bottom w:val="single" w:sz="4" w:space="1" w:color="auto"/>
          <w:right w:val="single" w:sz="4" w:space="4" w:color="auto"/>
        </w:pBdr>
        <w:jc w:val="both"/>
        <w:rPr>
          <w:b/>
        </w:rPr>
      </w:pPr>
      <w:r w:rsidRPr="00AC5D7A">
        <w:rPr>
          <w:b/>
        </w:rPr>
        <w:t xml:space="preserve">This pilot goes beyond the state of the art </w:t>
      </w:r>
      <w:r>
        <w:rPr>
          <w:b/>
        </w:rPr>
        <w:t>as</w:t>
      </w:r>
      <w:r w:rsidRPr="00AC5D7A">
        <w:rPr>
          <w:b/>
        </w:rPr>
        <w:t xml:space="preserve"> it considers the combination of LTE carrier aggregation with dynamic use of LSA </w:t>
      </w:r>
      <w:proofErr w:type="gramStart"/>
      <w:r w:rsidRPr="00AC5D7A">
        <w:rPr>
          <w:b/>
        </w:rPr>
        <w:t>mechanism that so far was not yet tested and demonstrate</w:t>
      </w:r>
      <w:proofErr w:type="gramEnd"/>
      <w:r w:rsidRPr="00AC5D7A">
        <w:rPr>
          <w:b/>
        </w:rPr>
        <w:t xml:space="preserve"> </w:t>
      </w:r>
      <w:r>
        <w:rPr>
          <w:b/>
        </w:rPr>
        <w:t xml:space="preserve">successfully </w:t>
      </w:r>
      <w:r w:rsidRPr="00AC5D7A">
        <w:rPr>
          <w:b/>
        </w:rPr>
        <w:t>the complementarity of both</w:t>
      </w:r>
      <w:r>
        <w:rPr>
          <w:b/>
        </w:rPr>
        <w:t xml:space="preserve"> technologies</w:t>
      </w:r>
      <w:r w:rsidRPr="00AC5D7A">
        <w:rPr>
          <w:rFonts w:cs="Courier New"/>
          <w:b/>
          <w:lang w:val="en"/>
        </w:rPr>
        <w:t>.</w:t>
      </w:r>
    </w:p>
    <w:p w:rsidR="00521A9E" w:rsidRPr="00AC5D7A" w:rsidRDefault="00521A9E" w:rsidP="00521A9E">
      <w:pPr>
        <w:jc w:val="both"/>
      </w:pPr>
      <w:r>
        <w:t>Results</w:t>
      </w:r>
      <w:r w:rsidRPr="00AC5D7A">
        <w:t xml:space="preserve"> are:</w:t>
      </w:r>
    </w:p>
    <w:p w:rsidR="00521A9E" w:rsidRPr="00981FA2" w:rsidRDefault="00521A9E" w:rsidP="00521A9E">
      <w:pPr>
        <w:pStyle w:val="Paragraphedeliste"/>
        <w:numPr>
          <w:ilvl w:val="0"/>
          <w:numId w:val="3"/>
        </w:numPr>
        <w:ind w:left="714" w:hanging="357"/>
        <w:contextualSpacing w:val="0"/>
      </w:pPr>
      <w:r>
        <w:t>It d</w:t>
      </w:r>
      <w:r w:rsidRPr="00981FA2">
        <w:t xml:space="preserve">emonstrates a complete implementation of the LSA technology associated with commercial LTE radio </w:t>
      </w:r>
      <w:r>
        <w:t xml:space="preserve">and user </w:t>
      </w:r>
      <w:r w:rsidRPr="00981FA2">
        <w:t>equipment</w:t>
      </w:r>
      <w:r>
        <w:t xml:space="preserve"> </w:t>
      </w:r>
    </w:p>
    <w:p w:rsidR="00521A9E" w:rsidRPr="00981FA2" w:rsidRDefault="00521A9E" w:rsidP="00521A9E">
      <w:pPr>
        <w:pStyle w:val="Paragraphedeliste"/>
        <w:numPr>
          <w:ilvl w:val="0"/>
          <w:numId w:val="3"/>
        </w:numPr>
        <w:ind w:left="714" w:hanging="357"/>
        <w:contextualSpacing w:val="0"/>
      </w:pPr>
      <w:r>
        <w:t>It</w:t>
      </w:r>
      <w:r w:rsidRPr="00981FA2">
        <w:t xml:space="preserve"> validate</w:t>
      </w:r>
      <w:r>
        <w:t>s</w:t>
      </w:r>
      <w:r w:rsidRPr="00981FA2">
        <w:t xml:space="preserve"> </w:t>
      </w:r>
      <w:r>
        <w:t>the</w:t>
      </w:r>
      <w:r w:rsidRPr="00981FA2">
        <w:t xml:space="preserve"> LSA </w:t>
      </w:r>
      <w:r>
        <w:t>architecture and nourishes many contributions</w:t>
      </w:r>
      <w:r w:rsidRPr="00981FA2">
        <w:t xml:space="preserve"> to ETSI and 3GPP</w:t>
      </w:r>
      <w:r>
        <w:t>.</w:t>
      </w:r>
    </w:p>
    <w:p w:rsidR="00521A9E" w:rsidRPr="00981FA2" w:rsidRDefault="00521A9E" w:rsidP="00521A9E">
      <w:pPr>
        <w:pStyle w:val="Paragraphedeliste"/>
        <w:numPr>
          <w:ilvl w:val="0"/>
          <w:numId w:val="3"/>
        </w:numPr>
        <w:ind w:left="714" w:hanging="357"/>
        <w:contextualSpacing w:val="0"/>
      </w:pPr>
      <w:r>
        <w:t>It</w:t>
      </w:r>
      <w:r w:rsidRPr="00981FA2">
        <w:t xml:space="preserve"> provide</w:t>
      </w:r>
      <w:r>
        <w:t>s</w:t>
      </w:r>
      <w:r w:rsidRPr="00981FA2">
        <w:t xml:space="preserve"> MNOs with an insight into LSA functions</w:t>
      </w:r>
      <w:r>
        <w:t xml:space="preserve"> through on-site demos.</w:t>
      </w:r>
    </w:p>
    <w:p w:rsidR="00521A9E" w:rsidRPr="00981FA2" w:rsidRDefault="00521A9E" w:rsidP="00521A9E">
      <w:pPr>
        <w:pStyle w:val="Paragraphedeliste"/>
        <w:numPr>
          <w:ilvl w:val="0"/>
          <w:numId w:val="3"/>
        </w:numPr>
        <w:ind w:left="714" w:hanging="357"/>
        <w:contextualSpacing w:val="0"/>
      </w:pPr>
      <w:r>
        <w:t>It validates timely dynamic pre-emptions to</w:t>
      </w:r>
      <w:r w:rsidRPr="00981FA2">
        <w:t xml:space="preserve"> guarantee pr</w:t>
      </w:r>
      <w:r>
        <w:t>otection of the incumbent users.</w:t>
      </w:r>
    </w:p>
    <w:p w:rsidR="00521A9E" w:rsidRPr="00981FA2" w:rsidRDefault="00521A9E" w:rsidP="00521A9E">
      <w:pPr>
        <w:pStyle w:val="Paragraphedeliste"/>
        <w:numPr>
          <w:ilvl w:val="0"/>
          <w:numId w:val="3"/>
        </w:numPr>
        <w:ind w:left="714" w:hanging="357"/>
        <w:contextualSpacing w:val="0"/>
      </w:pPr>
      <w:r>
        <w:t xml:space="preserve">It validates the association of carrier aggregation with LSA to </w:t>
      </w:r>
      <w:r w:rsidRPr="00981FA2">
        <w:t>guarantee</w:t>
      </w:r>
      <w:r>
        <w:t xml:space="preserve"> service continuity for LSA licensee users.</w:t>
      </w:r>
    </w:p>
    <w:p w:rsidR="00521A9E" w:rsidRPr="00B6178D" w:rsidRDefault="00521A9E" w:rsidP="00521A9E">
      <w:pPr>
        <w:jc w:val="both"/>
      </w:pPr>
      <w:r w:rsidRPr="00B6178D">
        <w:t>Takeaways are</w:t>
      </w:r>
    </w:p>
    <w:p w:rsidR="00521A9E" w:rsidRPr="00CE2CF7" w:rsidRDefault="00521A9E" w:rsidP="00521A9E">
      <w:pPr>
        <w:pStyle w:val="Paragraphedeliste"/>
        <w:numPr>
          <w:ilvl w:val="0"/>
          <w:numId w:val="3"/>
        </w:numPr>
        <w:ind w:left="714" w:hanging="357"/>
        <w:contextualSpacing w:val="0"/>
      </w:pPr>
      <w:r>
        <w:t>RED</w:t>
      </w:r>
      <w:r w:rsidRPr="00CE2CF7">
        <w:t xml:space="preserve"> LSA Repository and LSA Controller easily integrated with </w:t>
      </w:r>
      <w:r>
        <w:t>Ericsson</w:t>
      </w:r>
      <w:r w:rsidRPr="00CE2CF7">
        <w:t xml:space="preserve"> Network Manager and RAN Radio DOTs</w:t>
      </w:r>
    </w:p>
    <w:p w:rsidR="00521A9E" w:rsidRPr="00CE2CF7" w:rsidRDefault="00521A9E" w:rsidP="00521A9E">
      <w:pPr>
        <w:pStyle w:val="Paragraphedeliste"/>
        <w:numPr>
          <w:ilvl w:val="0"/>
          <w:numId w:val="3"/>
        </w:numPr>
        <w:ind w:left="714" w:hanging="357"/>
        <w:contextualSpacing w:val="0"/>
      </w:pPr>
      <w:r>
        <w:t xml:space="preserve">It was the </w:t>
      </w:r>
      <w:r w:rsidRPr="00CE2CF7">
        <w:t>3</w:t>
      </w:r>
      <w:r w:rsidRPr="00B6178D">
        <w:t>rd</w:t>
      </w:r>
      <w:r w:rsidRPr="00CE2CF7">
        <w:t xml:space="preserve"> trial </w:t>
      </w:r>
      <w:r>
        <w:t>on LSA in EU after Finland and Italy.</w:t>
      </w:r>
    </w:p>
    <w:p w:rsidR="00521A9E" w:rsidRPr="00CE2CF7" w:rsidRDefault="00521A9E" w:rsidP="00521A9E">
      <w:pPr>
        <w:pStyle w:val="Paragraphedeliste"/>
        <w:numPr>
          <w:ilvl w:val="0"/>
          <w:numId w:val="3"/>
        </w:numPr>
        <w:ind w:left="714" w:hanging="357"/>
        <w:contextualSpacing w:val="0"/>
      </w:pPr>
      <w:r w:rsidRPr="00CE2CF7">
        <w:t>Intra or Inter band Carrier Aggregation allows for no service interruption (LSA Licensee) when Primary Component Carrier (PCC) is on exclusive frequency block</w:t>
      </w:r>
      <w:r>
        <w:t>.</w:t>
      </w:r>
    </w:p>
    <w:p w:rsidR="00521A9E" w:rsidRPr="00CE2CF7" w:rsidRDefault="00521A9E" w:rsidP="00521A9E">
      <w:pPr>
        <w:pStyle w:val="Paragraphedeliste"/>
        <w:numPr>
          <w:ilvl w:val="0"/>
          <w:numId w:val="3"/>
        </w:numPr>
        <w:ind w:left="714" w:hanging="357"/>
        <w:contextualSpacing w:val="0"/>
      </w:pPr>
      <w:r w:rsidRPr="00CE2CF7">
        <w:t>LSA is frequency agnostic</w:t>
      </w:r>
      <w:r>
        <w:t xml:space="preserve"> and can apply similarly to other bands such as 3.4 – 3.8 GHz band.</w:t>
      </w:r>
    </w:p>
    <w:p w:rsidR="00521A9E" w:rsidRPr="00CE2CF7" w:rsidRDefault="00521A9E" w:rsidP="00521A9E">
      <w:pPr>
        <w:pStyle w:val="Paragraphedeliste"/>
        <w:numPr>
          <w:ilvl w:val="0"/>
          <w:numId w:val="3"/>
        </w:numPr>
        <w:ind w:left="714" w:hanging="357"/>
        <w:contextualSpacing w:val="0"/>
      </w:pPr>
      <w:r w:rsidRPr="00CE2CF7">
        <w:t>LSA helps increasing network capacity in spectrum &amp; acceler</w:t>
      </w:r>
      <w:r>
        <w:t>ates harmonization of IMT bands.</w:t>
      </w:r>
    </w:p>
    <w:p w:rsidR="00521A9E" w:rsidRPr="00CE2CF7" w:rsidRDefault="00521A9E" w:rsidP="00521A9E">
      <w:pPr>
        <w:pStyle w:val="Paragraphedeliste"/>
        <w:numPr>
          <w:ilvl w:val="0"/>
          <w:numId w:val="3"/>
        </w:numPr>
        <w:ind w:left="714" w:hanging="357"/>
        <w:contextualSpacing w:val="0"/>
      </w:pPr>
      <w:r w:rsidRPr="00CE2CF7">
        <w:t xml:space="preserve">LSA has no impact on the operator’s desired </w:t>
      </w:r>
      <w:proofErr w:type="spellStart"/>
      <w:r w:rsidRPr="00CE2CF7">
        <w:t>QoS</w:t>
      </w:r>
      <w:proofErr w:type="spellEnd"/>
      <w:r w:rsidRPr="00CE2CF7">
        <w:t xml:space="preserve"> policies and strategies</w:t>
      </w:r>
      <w:r>
        <w:t>.</w:t>
      </w:r>
    </w:p>
    <w:p w:rsidR="00521A9E" w:rsidRPr="00CE2CF7" w:rsidRDefault="00521A9E" w:rsidP="00521A9E">
      <w:pPr>
        <w:pStyle w:val="Paragraphedeliste"/>
        <w:numPr>
          <w:ilvl w:val="0"/>
          <w:numId w:val="3"/>
        </w:numPr>
        <w:ind w:left="714" w:hanging="357"/>
        <w:contextualSpacing w:val="0"/>
      </w:pPr>
      <w:r w:rsidRPr="00CE2CF7">
        <w:t>LSA is fully transparent to UEs</w:t>
      </w:r>
    </w:p>
    <w:p w:rsidR="00521A9E" w:rsidRDefault="00521A9E" w:rsidP="00521A9E">
      <w:pPr>
        <w:rPr>
          <w:lang w:eastAsia="de-DE"/>
        </w:rPr>
      </w:pPr>
      <w:r>
        <w:rPr>
          <w:lang w:eastAsia="de-DE"/>
        </w:rPr>
        <w:br w:type="page"/>
      </w:r>
    </w:p>
    <w:p w:rsidR="00521A9E" w:rsidRDefault="00521A9E"/>
    <w:sectPr w:rsidR="00521A9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D1D" w:rsidRDefault="00816D1D" w:rsidP="00521A9E">
      <w:pPr>
        <w:spacing w:after="0" w:line="240" w:lineRule="auto"/>
      </w:pPr>
      <w:r>
        <w:separator/>
      </w:r>
    </w:p>
  </w:endnote>
  <w:endnote w:type="continuationSeparator" w:id="0">
    <w:p w:rsidR="00816D1D" w:rsidRDefault="00816D1D" w:rsidP="00521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D1D" w:rsidRDefault="00816D1D" w:rsidP="00521A9E">
      <w:pPr>
        <w:spacing w:after="0" w:line="240" w:lineRule="auto"/>
      </w:pPr>
      <w:r>
        <w:separator/>
      </w:r>
    </w:p>
  </w:footnote>
  <w:footnote w:type="continuationSeparator" w:id="0">
    <w:p w:rsidR="00816D1D" w:rsidRDefault="00816D1D" w:rsidP="00521A9E">
      <w:pPr>
        <w:spacing w:after="0" w:line="240" w:lineRule="auto"/>
      </w:pPr>
      <w:r>
        <w:continuationSeparator/>
      </w:r>
    </w:p>
  </w:footnote>
  <w:footnote w:id="1">
    <w:p w:rsidR="00521A9E" w:rsidRPr="00367251" w:rsidRDefault="00521A9E" w:rsidP="00521A9E">
      <w:pPr>
        <w:pStyle w:val="Notedebasdepage"/>
        <w:rPr>
          <w:lang w:val="en-US"/>
        </w:rPr>
      </w:pPr>
      <w:r>
        <w:rPr>
          <w:rStyle w:val="Appelnotedebasdep"/>
        </w:rPr>
        <w:footnoteRef/>
      </w:r>
      <w:r>
        <w:t xml:space="preserve"> </w:t>
      </w:r>
      <w:r w:rsidRPr="00914594">
        <w:t>http://www.anfr.fr/publications/etudes/etudes-en-vue/#menu2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52CA7"/>
    <w:multiLevelType w:val="hybridMultilevel"/>
    <w:tmpl w:val="966E654A"/>
    <w:lvl w:ilvl="0" w:tplc="B0F6504E">
      <w:start w:val="5"/>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1A6251C"/>
    <w:multiLevelType w:val="hybridMultilevel"/>
    <w:tmpl w:val="320EB36A"/>
    <w:lvl w:ilvl="0" w:tplc="89CA7D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07767BF"/>
    <w:multiLevelType w:val="multilevel"/>
    <w:tmpl w:val="AE6610EC"/>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start w:val="1"/>
      <w:numFmt w:val="decimal"/>
      <w:pStyle w:val="Titre9"/>
      <w:lvlText w:val="%1.%2.%3.%4.%5.%6.%7.%8.%9"/>
      <w:lvlJc w:val="left"/>
      <w:pPr>
        <w:tabs>
          <w:tab w:val="num" w:pos="1584"/>
        </w:tabs>
        <w:ind w:left="1584" w:hanging="1584"/>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A9E"/>
    <w:rsid w:val="00521A9E"/>
    <w:rsid w:val="00816D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A9E"/>
    <w:pPr>
      <w:spacing w:after="160" w:line="259" w:lineRule="auto"/>
    </w:pPr>
    <w:rPr>
      <w:lang w:val="en-GB"/>
    </w:rPr>
  </w:style>
  <w:style w:type="paragraph" w:styleId="Titre1">
    <w:name w:val="heading 1"/>
    <w:basedOn w:val="Normal"/>
    <w:next w:val="Normal"/>
    <w:link w:val="Titre1Car"/>
    <w:uiPriority w:val="99"/>
    <w:qFormat/>
    <w:rsid w:val="00521A9E"/>
    <w:pPr>
      <w:numPr>
        <w:numId w:val="1"/>
      </w:numPr>
      <w:tabs>
        <w:tab w:val="left" w:pos="851"/>
      </w:tabs>
      <w:spacing w:before="360" w:after="120" w:line="240" w:lineRule="auto"/>
      <w:outlineLvl w:val="0"/>
    </w:pPr>
    <w:rPr>
      <w:rFonts w:ascii="Arial" w:eastAsia="Times New Roman" w:hAnsi="Arial" w:cs="Arial"/>
      <w:b/>
      <w:sz w:val="28"/>
      <w:szCs w:val="28"/>
      <w:lang w:eastAsia="de-DE"/>
    </w:rPr>
  </w:style>
  <w:style w:type="paragraph" w:styleId="Titre2">
    <w:name w:val="heading 2"/>
    <w:basedOn w:val="Titre1"/>
    <w:next w:val="Normal"/>
    <w:link w:val="Titre2Car"/>
    <w:uiPriority w:val="99"/>
    <w:qFormat/>
    <w:rsid w:val="00521A9E"/>
    <w:pPr>
      <w:numPr>
        <w:ilvl w:val="1"/>
      </w:numPr>
      <w:spacing w:before="120"/>
      <w:outlineLvl w:val="1"/>
    </w:pPr>
    <w:rPr>
      <w:rFonts w:eastAsia="MS Gothic"/>
      <w:sz w:val="22"/>
      <w:szCs w:val="22"/>
      <w:lang w:eastAsia="en-US"/>
    </w:rPr>
  </w:style>
  <w:style w:type="paragraph" w:styleId="Titre3">
    <w:name w:val="heading 3"/>
    <w:basedOn w:val="Titre2"/>
    <w:next w:val="Normal"/>
    <w:link w:val="Titre3Car"/>
    <w:uiPriority w:val="99"/>
    <w:qFormat/>
    <w:rsid w:val="00521A9E"/>
    <w:pPr>
      <w:numPr>
        <w:ilvl w:val="2"/>
      </w:numPr>
      <w:outlineLvl w:val="2"/>
    </w:pPr>
    <w:rPr>
      <w:i/>
    </w:rPr>
  </w:style>
  <w:style w:type="paragraph" w:styleId="Titre4">
    <w:name w:val="heading 4"/>
    <w:basedOn w:val="Normal"/>
    <w:next w:val="Normal"/>
    <w:link w:val="Titre4Car"/>
    <w:uiPriority w:val="99"/>
    <w:qFormat/>
    <w:rsid w:val="00521A9E"/>
    <w:pPr>
      <w:numPr>
        <w:ilvl w:val="3"/>
        <w:numId w:val="1"/>
      </w:numPr>
      <w:spacing w:after="120" w:line="240" w:lineRule="auto"/>
      <w:jc w:val="both"/>
      <w:outlineLvl w:val="3"/>
    </w:pPr>
    <w:rPr>
      <w:rFonts w:ascii="Arial" w:eastAsia="Times New Roman" w:hAnsi="Arial" w:cs="Times New Roman"/>
      <w:szCs w:val="20"/>
      <w:u w:val="single"/>
      <w:lang w:val="nb-NO" w:eastAsia="de-DE"/>
    </w:rPr>
  </w:style>
  <w:style w:type="paragraph" w:styleId="Titre5">
    <w:name w:val="heading 5"/>
    <w:basedOn w:val="Normal"/>
    <w:next w:val="Normal"/>
    <w:link w:val="Titre5Car"/>
    <w:uiPriority w:val="99"/>
    <w:qFormat/>
    <w:rsid w:val="00521A9E"/>
    <w:pPr>
      <w:numPr>
        <w:ilvl w:val="4"/>
        <w:numId w:val="1"/>
      </w:numPr>
      <w:spacing w:after="120" w:line="240" w:lineRule="auto"/>
      <w:jc w:val="both"/>
      <w:outlineLvl w:val="4"/>
    </w:pPr>
    <w:rPr>
      <w:rFonts w:ascii="Arial" w:eastAsia="Times New Roman" w:hAnsi="Arial" w:cs="Times New Roman"/>
      <w:b/>
      <w:sz w:val="20"/>
      <w:szCs w:val="20"/>
      <w:lang w:val="nb-NO" w:eastAsia="de-DE"/>
    </w:rPr>
  </w:style>
  <w:style w:type="paragraph" w:styleId="Titre6">
    <w:name w:val="heading 6"/>
    <w:basedOn w:val="Normal"/>
    <w:next w:val="Normal"/>
    <w:link w:val="Titre6Car"/>
    <w:uiPriority w:val="99"/>
    <w:qFormat/>
    <w:rsid w:val="00521A9E"/>
    <w:pPr>
      <w:numPr>
        <w:ilvl w:val="5"/>
        <w:numId w:val="1"/>
      </w:numPr>
      <w:spacing w:after="120" w:line="240" w:lineRule="auto"/>
      <w:jc w:val="both"/>
      <w:outlineLvl w:val="5"/>
    </w:pPr>
    <w:rPr>
      <w:rFonts w:ascii="Arial" w:eastAsia="Times New Roman" w:hAnsi="Arial" w:cs="Times New Roman"/>
      <w:sz w:val="20"/>
      <w:szCs w:val="20"/>
      <w:u w:val="single"/>
      <w:lang w:val="nb-NO" w:eastAsia="de-DE"/>
    </w:rPr>
  </w:style>
  <w:style w:type="paragraph" w:styleId="Titre7">
    <w:name w:val="heading 7"/>
    <w:basedOn w:val="Normal"/>
    <w:next w:val="Normal"/>
    <w:link w:val="Titre7Car"/>
    <w:uiPriority w:val="99"/>
    <w:qFormat/>
    <w:rsid w:val="00521A9E"/>
    <w:pPr>
      <w:numPr>
        <w:ilvl w:val="6"/>
        <w:numId w:val="1"/>
      </w:numPr>
      <w:spacing w:after="120" w:line="240" w:lineRule="auto"/>
      <w:jc w:val="both"/>
      <w:outlineLvl w:val="6"/>
    </w:pPr>
    <w:rPr>
      <w:rFonts w:ascii="Arial" w:eastAsia="Times New Roman" w:hAnsi="Arial" w:cs="Times New Roman"/>
      <w:i/>
      <w:sz w:val="20"/>
      <w:szCs w:val="20"/>
      <w:lang w:val="nb-NO" w:eastAsia="de-DE"/>
    </w:rPr>
  </w:style>
  <w:style w:type="paragraph" w:styleId="Titre8">
    <w:name w:val="heading 8"/>
    <w:basedOn w:val="Normal"/>
    <w:next w:val="Normal"/>
    <w:link w:val="Titre8Car"/>
    <w:uiPriority w:val="99"/>
    <w:qFormat/>
    <w:rsid w:val="00521A9E"/>
    <w:pPr>
      <w:numPr>
        <w:ilvl w:val="7"/>
        <w:numId w:val="1"/>
      </w:numPr>
      <w:spacing w:after="120" w:line="240" w:lineRule="auto"/>
      <w:jc w:val="both"/>
      <w:outlineLvl w:val="7"/>
    </w:pPr>
    <w:rPr>
      <w:rFonts w:ascii="Arial" w:eastAsia="Times New Roman" w:hAnsi="Arial" w:cs="Times New Roman"/>
      <w:i/>
      <w:sz w:val="20"/>
      <w:szCs w:val="20"/>
      <w:lang w:val="nb-NO" w:eastAsia="de-DE"/>
    </w:rPr>
  </w:style>
  <w:style w:type="paragraph" w:styleId="Titre9">
    <w:name w:val="heading 9"/>
    <w:basedOn w:val="Normal"/>
    <w:next w:val="Normal"/>
    <w:link w:val="Titre9Car"/>
    <w:uiPriority w:val="99"/>
    <w:qFormat/>
    <w:rsid w:val="00521A9E"/>
    <w:pPr>
      <w:numPr>
        <w:ilvl w:val="8"/>
        <w:numId w:val="1"/>
      </w:numPr>
      <w:spacing w:after="120" w:line="240" w:lineRule="auto"/>
      <w:jc w:val="both"/>
      <w:outlineLvl w:val="8"/>
    </w:pPr>
    <w:rPr>
      <w:rFonts w:ascii="Arial" w:eastAsia="Times New Roman" w:hAnsi="Arial" w:cs="Times New Roman"/>
      <w:i/>
      <w:sz w:val="20"/>
      <w:szCs w:val="20"/>
      <w:lang w:val="nb-NO"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521A9E"/>
    <w:rPr>
      <w:rFonts w:ascii="Arial" w:eastAsia="Times New Roman" w:hAnsi="Arial" w:cs="Arial"/>
      <w:b/>
      <w:sz w:val="28"/>
      <w:szCs w:val="28"/>
      <w:lang w:val="en-GB" w:eastAsia="de-DE"/>
    </w:rPr>
  </w:style>
  <w:style w:type="character" w:customStyle="1" w:styleId="Titre2Car">
    <w:name w:val="Titre 2 Car"/>
    <w:basedOn w:val="Policepardfaut"/>
    <w:link w:val="Titre2"/>
    <w:uiPriority w:val="99"/>
    <w:rsid w:val="00521A9E"/>
    <w:rPr>
      <w:rFonts w:ascii="Arial" w:eastAsia="MS Gothic" w:hAnsi="Arial" w:cs="Arial"/>
      <w:b/>
      <w:lang w:val="en-GB"/>
    </w:rPr>
  </w:style>
  <w:style w:type="character" w:customStyle="1" w:styleId="Titre3Car">
    <w:name w:val="Titre 3 Car"/>
    <w:basedOn w:val="Policepardfaut"/>
    <w:link w:val="Titre3"/>
    <w:uiPriority w:val="99"/>
    <w:rsid w:val="00521A9E"/>
    <w:rPr>
      <w:rFonts w:ascii="Arial" w:eastAsia="MS Gothic" w:hAnsi="Arial" w:cs="Arial"/>
      <w:b/>
      <w:i/>
      <w:lang w:val="en-GB"/>
    </w:rPr>
  </w:style>
  <w:style w:type="character" w:customStyle="1" w:styleId="Titre4Car">
    <w:name w:val="Titre 4 Car"/>
    <w:basedOn w:val="Policepardfaut"/>
    <w:link w:val="Titre4"/>
    <w:uiPriority w:val="99"/>
    <w:rsid w:val="00521A9E"/>
    <w:rPr>
      <w:rFonts w:ascii="Arial" w:eastAsia="Times New Roman" w:hAnsi="Arial" w:cs="Times New Roman"/>
      <w:szCs w:val="20"/>
      <w:u w:val="single"/>
      <w:lang w:val="nb-NO" w:eastAsia="de-DE"/>
    </w:rPr>
  </w:style>
  <w:style w:type="character" w:customStyle="1" w:styleId="Titre5Car">
    <w:name w:val="Titre 5 Car"/>
    <w:basedOn w:val="Policepardfaut"/>
    <w:link w:val="Titre5"/>
    <w:uiPriority w:val="99"/>
    <w:rsid w:val="00521A9E"/>
    <w:rPr>
      <w:rFonts w:ascii="Arial" w:eastAsia="Times New Roman" w:hAnsi="Arial" w:cs="Times New Roman"/>
      <w:b/>
      <w:sz w:val="20"/>
      <w:szCs w:val="20"/>
      <w:lang w:val="nb-NO" w:eastAsia="de-DE"/>
    </w:rPr>
  </w:style>
  <w:style w:type="character" w:customStyle="1" w:styleId="Titre6Car">
    <w:name w:val="Titre 6 Car"/>
    <w:basedOn w:val="Policepardfaut"/>
    <w:link w:val="Titre6"/>
    <w:uiPriority w:val="99"/>
    <w:rsid w:val="00521A9E"/>
    <w:rPr>
      <w:rFonts w:ascii="Arial" w:eastAsia="Times New Roman" w:hAnsi="Arial" w:cs="Times New Roman"/>
      <w:sz w:val="20"/>
      <w:szCs w:val="20"/>
      <w:u w:val="single"/>
      <w:lang w:val="nb-NO" w:eastAsia="de-DE"/>
    </w:rPr>
  </w:style>
  <w:style w:type="character" w:customStyle="1" w:styleId="Titre7Car">
    <w:name w:val="Titre 7 Car"/>
    <w:basedOn w:val="Policepardfaut"/>
    <w:link w:val="Titre7"/>
    <w:uiPriority w:val="99"/>
    <w:rsid w:val="00521A9E"/>
    <w:rPr>
      <w:rFonts w:ascii="Arial" w:eastAsia="Times New Roman" w:hAnsi="Arial" w:cs="Times New Roman"/>
      <w:i/>
      <w:sz w:val="20"/>
      <w:szCs w:val="20"/>
      <w:lang w:val="nb-NO" w:eastAsia="de-DE"/>
    </w:rPr>
  </w:style>
  <w:style w:type="character" w:customStyle="1" w:styleId="Titre8Car">
    <w:name w:val="Titre 8 Car"/>
    <w:basedOn w:val="Policepardfaut"/>
    <w:link w:val="Titre8"/>
    <w:uiPriority w:val="99"/>
    <w:rsid w:val="00521A9E"/>
    <w:rPr>
      <w:rFonts w:ascii="Arial" w:eastAsia="Times New Roman" w:hAnsi="Arial" w:cs="Times New Roman"/>
      <w:i/>
      <w:sz w:val="20"/>
      <w:szCs w:val="20"/>
      <w:lang w:val="nb-NO" w:eastAsia="de-DE"/>
    </w:rPr>
  </w:style>
  <w:style w:type="character" w:customStyle="1" w:styleId="Titre9Car">
    <w:name w:val="Titre 9 Car"/>
    <w:basedOn w:val="Policepardfaut"/>
    <w:link w:val="Titre9"/>
    <w:uiPriority w:val="99"/>
    <w:rsid w:val="00521A9E"/>
    <w:rPr>
      <w:rFonts w:ascii="Arial" w:eastAsia="Times New Roman" w:hAnsi="Arial" w:cs="Times New Roman"/>
      <w:i/>
      <w:sz w:val="20"/>
      <w:szCs w:val="20"/>
      <w:lang w:val="nb-NO" w:eastAsia="de-DE"/>
    </w:rPr>
  </w:style>
  <w:style w:type="paragraph" w:styleId="Paragraphedeliste">
    <w:name w:val="List Paragraph"/>
    <w:aliases w:val="Normal bullet 2,Bullet list,List Paragraph1,Numbered List,1st level - Bullet List Paragraph,Lettre d'introduction"/>
    <w:basedOn w:val="Normal"/>
    <w:link w:val="ParagraphedelisteCar"/>
    <w:uiPriority w:val="34"/>
    <w:qFormat/>
    <w:rsid w:val="00521A9E"/>
    <w:pPr>
      <w:spacing w:after="120" w:line="240" w:lineRule="auto"/>
      <w:ind w:left="720"/>
      <w:contextualSpacing/>
      <w:jc w:val="both"/>
    </w:pPr>
    <w:rPr>
      <w:rFonts w:ascii="Calibri" w:eastAsia="Times New Roman" w:hAnsi="Calibri" w:cs="Times New Roman"/>
      <w:szCs w:val="24"/>
      <w:lang w:eastAsia="en-GB"/>
    </w:rPr>
  </w:style>
  <w:style w:type="character" w:customStyle="1" w:styleId="ParagraphedelisteCar">
    <w:name w:val="Paragraphe de liste Car"/>
    <w:aliases w:val="Normal bullet 2 Car,Bullet list Car,List Paragraph1 Car,Numbered List Car,1st level - Bullet List Paragraph Car,Lettre d'introduction Car"/>
    <w:basedOn w:val="Policepardfaut"/>
    <w:link w:val="Paragraphedeliste"/>
    <w:uiPriority w:val="34"/>
    <w:rsid w:val="00521A9E"/>
    <w:rPr>
      <w:rFonts w:ascii="Calibri" w:eastAsia="Times New Roman" w:hAnsi="Calibri" w:cs="Times New Roman"/>
      <w:szCs w:val="24"/>
      <w:lang w:val="en-GB" w:eastAsia="en-GB"/>
    </w:rPr>
  </w:style>
  <w:style w:type="paragraph" w:styleId="Notedebasdepage">
    <w:name w:val="footnote text"/>
    <w:basedOn w:val="Normal"/>
    <w:link w:val="NotedebasdepageCar"/>
    <w:uiPriority w:val="99"/>
    <w:semiHidden/>
    <w:unhideWhenUsed/>
    <w:rsid w:val="00521A9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21A9E"/>
    <w:rPr>
      <w:sz w:val="20"/>
      <w:szCs w:val="20"/>
      <w:lang w:val="en-GB"/>
    </w:rPr>
  </w:style>
  <w:style w:type="character" w:styleId="Appelnotedebasdep">
    <w:name w:val="footnote reference"/>
    <w:basedOn w:val="Policepardfaut"/>
    <w:uiPriority w:val="99"/>
    <w:semiHidden/>
    <w:unhideWhenUsed/>
    <w:rsid w:val="00521A9E"/>
    <w:rPr>
      <w:vertAlign w:val="superscript"/>
    </w:rPr>
  </w:style>
  <w:style w:type="paragraph" w:styleId="Textedebulles">
    <w:name w:val="Balloon Text"/>
    <w:basedOn w:val="Normal"/>
    <w:link w:val="TextedebullesCar"/>
    <w:uiPriority w:val="99"/>
    <w:semiHidden/>
    <w:unhideWhenUsed/>
    <w:rsid w:val="00521A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1A9E"/>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A9E"/>
    <w:pPr>
      <w:spacing w:after="160" w:line="259" w:lineRule="auto"/>
    </w:pPr>
    <w:rPr>
      <w:lang w:val="en-GB"/>
    </w:rPr>
  </w:style>
  <w:style w:type="paragraph" w:styleId="Titre1">
    <w:name w:val="heading 1"/>
    <w:basedOn w:val="Normal"/>
    <w:next w:val="Normal"/>
    <w:link w:val="Titre1Car"/>
    <w:uiPriority w:val="99"/>
    <w:qFormat/>
    <w:rsid w:val="00521A9E"/>
    <w:pPr>
      <w:numPr>
        <w:numId w:val="1"/>
      </w:numPr>
      <w:tabs>
        <w:tab w:val="left" w:pos="851"/>
      </w:tabs>
      <w:spacing w:before="360" w:after="120" w:line="240" w:lineRule="auto"/>
      <w:outlineLvl w:val="0"/>
    </w:pPr>
    <w:rPr>
      <w:rFonts w:ascii="Arial" w:eastAsia="Times New Roman" w:hAnsi="Arial" w:cs="Arial"/>
      <w:b/>
      <w:sz w:val="28"/>
      <w:szCs w:val="28"/>
      <w:lang w:eastAsia="de-DE"/>
    </w:rPr>
  </w:style>
  <w:style w:type="paragraph" w:styleId="Titre2">
    <w:name w:val="heading 2"/>
    <w:basedOn w:val="Titre1"/>
    <w:next w:val="Normal"/>
    <w:link w:val="Titre2Car"/>
    <w:uiPriority w:val="99"/>
    <w:qFormat/>
    <w:rsid w:val="00521A9E"/>
    <w:pPr>
      <w:numPr>
        <w:ilvl w:val="1"/>
      </w:numPr>
      <w:spacing w:before="120"/>
      <w:outlineLvl w:val="1"/>
    </w:pPr>
    <w:rPr>
      <w:rFonts w:eastAsia="MS Gothic"/>
      <w:sz w:val="22"/>
      <w:szCs w:val="22"/>
      <w:lang w:eastAsia="en-US"/>
    </w:rPr>
  </w:style>
  <w:style w:type="paragraph" w:styleId="Titre3">
    <w:name w:val="heading 3"/>
    <w:basedOn w:val="Titre2"/>
    <w:next w:val="Normal"/>
    <w:link w:val="Titre3Car"/>
    <w:uiPriority w:val="99"/>
    <w:qFormat/>
    <w:rsid w:val="00521A9E"/>
    <w:pPr>
      <w:numPr>
        <w:ilvl w:val="2"/>
      </w:numPr>
      <w:outlineLvl w:val="2"/>
    </w:pPr>
    <w:rPr>
      <w:i/>
    </w:rPr>
  </w:style>
  <w:style w:type="paragraph" w:styleId="Titre4">
    <w:name w:val="heading 4"/>
    <w:basedOn w:val="Normal"/>
    <w:next w:val="Normal"/>
    <w:link w:val="Titre4Car"/>
    <w:uiPriority w:val="99"/>
    <w:qFormat/>
    <w:rsid w:val="00521A9E"/>
    <w:pPr>
      <w:numPr>
        <w:ilvl w:val="3"/>
        <w:numId w:val="1"/>
      </w:numPr>
      <w:spacing w:after="120" w:line="240" w:lineRule="auto"/>
      <w:jc w:val="both"/>
      <w:outlineLvl w:val="3"/>
    </w:pPr>
    <w:rPr>
      <w:rFonts w:ascii="Arial" w:eastAsia="Times New Roman" w:hAnsi="Arial" w:cs="Times New Roman"/>
      <w:szCs w:val="20"/>
      <w:u w:val="single"/>
      <w:lang w:val="nb-NO" w:eastAsia="de-DE"/>
    </w:rPr>
  </w:style>
  <w:style w:type="paragraph" w:styleId="Titre5">
    <w:name w:val="heading 5"/>
    <w:basedOn w:val="Normal"/>
    <w:next w:val="Normal"/>
    <w:link w:val="Titre5Car"/>
    <w:uiPriority w:val="99"/>
    <w:qFormat/>
    <w:rsid w:val="00521A9E"/>
    <w:pPr>
      <w:numPr>
        <w:ilvl w:val="4"/>
        <w:numId w:val="1"/>
      </w:numPr>
      <w:spacing w:after="120" w:line="240" w:lineRule="auto"/>
      <w:jc w:val="both"/>
      <w:outlineLvl w:val="4"/>
    </w:pPr>
    <w:rPr>
      <w:rFonts w:ascii="Arial" w:eastAsia="Times New Roman" w:hAnsi="Arial" w:cs="Times New Roman"/>
      <w:b/>
      <w:sz w:val="20"/>
      <w:szCs w:val="20"/>
      <w:lang w:val="nb-NO" w:eastAsia="de-DE"/>
    </w:rPr>
  </w:style>
  <w:style w:type="paragraph" w:styleId="Titre6">
    <w:name w:val="heading 6"/>
    <w:basedOn w:val="Normal"/>
    <w:next w:val="Normal"/>
    <w:link w:val="Titre6Car"/>
    <w:uiPriority w:val="99"/>
    <w:qFormat/>
    <w:rsid w:val="00521A9E"/>
    <w:pPr>
      <w:numPr>
        <w:ilvl w:val="5"/>
        <w:numId w:val="1"/>
      </w:numPr>
      <w:spacing w:after="120" w:line="240" w:lineRule="auto"/>
      <w:jc w:val="both"/>
      <w:outlineLvl w:val="5"/>
    </w:pPr>
    <w:rPr>
      <w:rFonts w:ascii="Arial" w:eastAsia="Times New Roman" w:hAnsi="Arial" w:cs="Times New Roman"/>
      <w:sz w:val="20"/>
      <w:szCs w:val="20"/>
      <w:u w:val="single"/>
      <w:lang w:val="nb-NO" w:eastAsia="de-DE"/>
    </w:rPr>
  </w:style>
  <w:style w:type="paragraph" w:styleId="Titre7">
    <w:name w:val="heading 7"/>
    <w:basedOn w:val="Normal"/>
    <w:next w:val="Normal"/>
    <w:link w:val="Titre7Car"/>
    <w:uiPriority w:val="99"/>
    <w:qFormat/>
    <w:rsid w:val="00521A9E"/>
    <w:pPr>
      <w:numPr>
        <w:ilvl w:val="6"/>
        <w:numId w:val="1"/>
      </w:numPr>
      <w:spacing w:after="120" w:line="240" w:lineRule="auto"/>
      <w:jc w:val="both"/>
      <w:outlineLvl w:val="6"/>
    </w:pPr>
    <w:rPr>
      <w:rFonts w:ascii="Arial" w:eastAsia="Times New Roman" w:hAnsi="Arial" w:cs="Times New Roman"/>
      <w:i/>
      <w:sz w:val="20"/>
      <w:szCs w:val="20"/>
      <w:lang w:val="nb-NO" w:eastAsia="de-DE"/>
    </w:rPr>
  </w:style>
  <w:style w:type="paragraph" w:styleId="Titre8">
    <w:name w:val="heading 8"/>
    <w:basedOn w:val="Normal"/>
    <w:next w:val="Normal"/>
    <w:link w:val="Titre8Car"/>
    <w:uiPriority w:val="99"/>
    <w:qFormat/>
    <w:rsid w:val="00521A9E"/>
    <w:pPr>
      <w:numPr>
        <w:ilvl w:val="7"/>
        <w:numId w:val="1"/>
      </w:numPr>
      <w:spacing w:after="120" w:line="240" w:lineRule="auto"/>
      <w:jc w:val="both"/>
      <w:outlineLvl w:val="7"/>
    </w:pPr>
    <w:rPr>
      <w:rFonts w:ascii="Arial" w:eastAsia="Times New Roman" w:hAnsi="Arial" w:cs="Times New Roman"/>
      <w:i/>
      <w:sz w:val="20"/>
      <w:szCs w:val="20"/>
      <w:lang w:val="nb-NO" w:eastAsia="de-DE"/>
    </w:rPr>
  </w:style>
  <w:style w:type="paragraph" w:styleId="Titre9">
    <w:name w:val="heading 9"/>
    <w:basedOn w:val="Normal"/>
    <w:next w:val="Normal"/>
    <w:link w:val="Titre9Car"/>
    <w:uiPriority w:val="99"/>
    <w:qFormat/>
    <w:rsid w:val="00521A9E"/>
    <w:pPr>
      <w:numPr>
        <w:ilvl w:val="8"/>
        <w:numId w:val="1"/>
      </w:numPr>
      <w:spacing w:after="120" w:line="240" w:lineRule="auto"/>
      <w:jc w:val="both"/>
      <w:outlineLvl w:val="8"/>
    </w:pPr>
    <w:rPr>
      <w:rFonts w:ascii="Arial" w:eastAsia="Times New Roman" w:hAnsi="Arial" w:cs="Times New Roman"/>
      <w:i/>
      <w:sz w:val="20"/>
      <w:szCs w:val="20"/>
      <w:lang w:val="nb-NO"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521A9E"/>
    <w:rPr>
      <w:rFonts w:ascii="Arial" w:eastAsia="Times New Roman" w:hAnsi="Arial" w:cs="Arial"/>
      <w:b/>
      <w:sz w:val="28"/>
      <w:szCs w:val="28"/>
      <w:lang w:val="en-GB" w:eastAsia="de-DE"/>
    </w:rPr>
  </w:style>
  <w:style w:type="character" w:customStyle="1" w:styleId="Titre2Car">
    <w:name w:val="Titre 2 Car"/>
    <w:basedOn w:val="Policepardfaut"/>
    <w:link w:val="Titre2"/>
    <w:uiPriority w:val="99"/>
    <w:rsid w:val="00521A9E"/>
    <w:rPr>
      <w:rFonts w:ascii="Arial" w:eastAsia="MS Gothic" w:hAnsi="Arial" w:cs="Arial"/>
      <w:b/>
      <w:lang w:val="en-GB"/>
    </w:rPr>
  </w:style>
  <w:style w:type="character" w:customStyle="1" w:styleId="Titre3Car">
    <w:name w:val="Titre 3 Car"/>
    <w:basedOn w:val="Policepardfaut"/>
    <w:link w:val="Titre3"/>
    <w:uiPriority w:val="99"/>
    <w:rsid w:val="00521A9E"/>
    <w:rPr>
      <w:rFonts w:ascii="Arial" w:eastAsia="MS Gothic" w:hAnsi="Arial" w:cs="Arial"/>
      <w:b/>
      <w:i/>
      <w:lang w:val="en-GB"/>
    </w:rPr>
  </w:style>
  <w:style w:type="character" w:customStyle="1" w:styleId="Titre4Car">
    <w:name w:val="Titre 4 Car"/>
    <w:basedOn w:val="Policepardfaut"/>
    <w:link w:val="Titre4"/>
    <w:uiPriority w:val="99"/>
    <w:rsid w:val="00521A9E"/>
    <w:rPr>
      <w:rFonts w:ascii="Arial" w:eastAsia="Times New Roman" w:hAnsi="Arial" w:cs="Times New Roman"/>
      <w:szCs w:val="20"/>
      <w:u w:val="single"/>
      <w:lang w:val="nb-NO" w:eastAsia="de-DE"/>
    </w:rPr>
  </w:style>
  <w:style w:type="character" w:customStyle="1" w:styleId="Titre5Car">
    <w:name w:val="Titre 5 Car"/>
    <w:basedOn w:val="Policepardfaut"/>
    <w:link w:val="Titre5"/>
    <w:uiPriority w:val="99"/>
    <w:rsid w:val="00521A9E"/>
    <w:rPr>
      <w:rFonts w:ascii="Arial" w:eastAsia="Times New Roman" w:hAnsi="Arial" w:cs="Times New Roman"/>
      <w:b/>
      <w:sz w:val="20"/>
      <w:szCs w:val="20"/>
      <w:lang w:val="nb-NO" w:eastAsia="de-DE"/>
    </w:rPr>
  </w:style>
  <w:style w:type="character" w:customStyle="1" w:styleId="Titre6Car">
    <w:name w:val="Titre 6 Car"/>
    <w:basedOn w:val="Policepardfaut"/>
    <w:link w:val="Titre6"/>
    <w:uiPriority w:val="99"/>
    <w:rsid w:val="00521A9E"/>
    <w:rPr>
      <w:rFonts w:ascii="Arial" w:eastAsia="Times New Roman" w:hAnsi="Arial" w:cs="Times New Roman"/>
      <w:sz w:val="20"/>
      <w:szCs w:val="20"/>
      <w:u w:val="single"/>
      <w:lang w:val="nb-NO" w:eastAsia="de-DE"/>
    </w:rPr>
  </w:style>
  <w:style w:type="character" w:customStyle="1" w:styleId="Titre7Car">
    <w:name w:val="Titre 7 Car"/>
    <w:basedOn w:val="Policepardfaut"/>
    <w:link w:val="Titre7"/>
    <w:uiPriority w:val="99"/>
    <w:rsid w:val="00521A9E"/>
    <w:rPr>
      <w:rFonts w:ascii="Arial" w:eastAsia="Times New Roman" w:hAnsi="Arial" w:cs="Times New Roman"/>
      <w:i/>
      <w:sz w:val="20"/>
      <w:szCs w:val="20"/>
      <w:lang w:val="nb-NO" w:eastAsia="de-DE"/>
    </w:rPr>
  </w:style>
  <w:style w:type="character" w:customStyle="1" w:styleId="Titre8Car">
    <w:name w:val="Titre 8 Car"/>
    <w:basedOn w:val="Policepardfaut"/>
    <w:link w:val="Titre8"/>
    <w:uiPriority w:val="99"/>
    <w:rsid w:val="00521A9E"/>
    <w:rPr>
      <w:rFonts w:ascii="Arial" w:eastAsia="Times New Roman" w:hAnsi="Arial" w:cs="Times New Roman"/>
      <w:i/>
      <w:sz w:val="20"/>
      <w:szCs w:val="20"/>
      <w:lang w:val="nb-NO" w:eastAsia="de-DE"/>
    </w:rPr>
  </w:style>
  <w:style w:type="character" w:customStyle="1" w:styleId="Titre9Car">
    <w:name w:val="Titre 9 Car"/>
    <w:basedOn w:val="Policepardfaut"/>
    <w:link w:val="Titre9"/>
    <w:uiPriority w:val="99"/>
    <w:rsid w:val="00521A9E"/>
    <w:rPr>
      <w:rFonts w:ascii="Arial" w:eastAsia="Times New Roman" w:hAnsi="Arial" w:cs="Times New Roman"/>
      <w:i/>
      <w:sz w:val="20"/>
      <w:szCs w:val="20"/>
      <w:lang w:val="nb-NO" w:eastAsia="de-DE"/>
    </w:rPr>
  </w:style>
  <w:style w:type="paragraph" w:styleId="Paragraphedeliste">
    <w:name w:val="List Paragraph"/>
    <w:aliases w:val="Normal bullet 2,Bullet list,List Paragraph1,Numbered List,1st level - Bullet List Paragraph,Lettre d'introduction"/>
    <w:basedOn w:val="Normal"/>
    <w:link w:val="ParagraphedelisteCar"/>
    <w:uiPriority w:val="34"/>
    <w:qFormat/>
    <w:rsid w:val="00521A9E"/>
    <w:pPr>
      <w:spacing w:after="120" w:line="240" w:lineRule="auto"/>
      <w:ind w:left="720"/>
      <w:contextualSpacing/>
      <w:jc w:val="both"/>
    </w:pPr>
    <w:rPr>
      <w:rFonts w:ascii="Calibri" w:eastAsia="Times New Roman" w:hAnsi="Calibri" w:cs="Times New Roman"/>
      <w:szCs w:val="24"/>
      <w:lang w:eastAsia="en-GB"/>
    </w:rPr>
  </w:style>
  <w:style w:type="character" w:customStyle="1" w:styleId="ParagraphedelisteCar">
    <w:name w:val="Paragraphe de liste Car"/>
    <w:aliases w:val="Normal bullet 2 Car,Bullet list Car,List Paragraph1 Car,Numbered List Car,1st level - Bullet List Paragraph Car,Lettre d'introduction Car"/>
    <w:basedOn w:val="Policepardfaut"/>
    <w:link w:val="Paragraphedeliste"/>
    <w:uiPriority w:val="34"/>
    <w:rsid w:val="00521A9E"/>
    <w:rPr>
      <w:rFonts w:ascii="Calibri" w:eastAsia="Times New Roman" w:hAnsi="Calibri" w:cs="Times New Roman"/>
      <w:szCs w:val="24"/>
      <w:lang w:val="en-GB" w:eastAsia="en-GB"/>
    </w:rPr>
  </w:style>
  <w:style w:type="paragraph" w:styleId="Notedebasdepage">
    <w:name w:val="footnote text"/>
    <w:basedOn w:val="Normal"/>
    <w:link w:val="NotedebasdepageCar"/>
    <w:uiPriority w:val="99"/>
    <w:semiHidden/>
    <w:unhideWhenUsed/>
    <w:rsid w:val="00521A9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21A9E"/>
    <w:rPr>
      <w:sz w:val="20"/>
      <w:szCs w:val="20"/>
      <w:lang w:val="en-GB"/>
    </w:rPr>
  </w:style>
  <w:style w:type="character" w:styleId="Appelnotedebasdep">
    <w:name w:val="footnote reference"/>
    <w:basedOn w:val="Policepardfaut"/>
    <w:uiPriority w:val="99"/>
    <w:semiHidden/>
    <w:unhideWhenUsed/>
    <w:rsid w:val="00521A9E"/>
    <w:rPr>
      <w:vertAlign w:val="superscript"/>
    </w:rPr>
  </w:style>
  <w:style w:type="paragraph" w:styleId="Textedebulles">
    <w:name w:val="Balloon Text"/>
    <w:basedOn w:val="Normal"/>
    <w:link w:val="TextedebullesCar"/>
    <w:uiPriority w:val="99"/>
    <w:semiHidden/>
    <w:unhideWhenUsed/>
    <w:rsid w:val="00521A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1A9E"/>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1039</Words>
  <Characters>5715</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ANFR</Company>
  <LinksUpToDate>false</LinksUpToDate>
  <CharactersWithSpaces>6741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dc:creator>
  <cp:lastModifiedBy>France</cp:lastModifiedBy>
  <cp:revision>1</cp:revision>
  <dcterms:created xsi:type="dcterms:W3CDTF">2016-10-05T19:48:00Z</dcterms:created>
  <dcterms:modified xsi:type="dcterms:W3CDTF">2016-10-05T19:50:00Z</dcterms:modified>
</cp:coreProperties>
</file>